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52C698F9" w:rsidR="00807C36" w:rsidRPr="00B64EAD" w:rsidRDefault="001D4B6B" w:rsidP="001D4B6B">
      <w:pPr>
        <w:pStyle w:val="ProductList-Body"/>
        <w:tabs>
          <w:tab w:val="clear" w:pos="360"/>
          <w:tab w:val="clear" w:pos="720"/>
          <w:tab w:val="clear" w:pos="1080"/>
        </w:tabs>
        <w:ind w:left="360"/>
        <w:rPr>
          <w:rFonts w:asciiTheme="majorHAnsi" w:hAnsiTheme="majorHAnsi"/>
          <w:color w:val="FFFFFF" w:themeColor="background1"/>
          <w:sz w:val="6"/>
          <w:szCs w:val="6"/>
        </w:rPr>
      </w:pPr>
      <w:r>
        <w:rPr>
          <w:noProof/>
          <w:szCs w:val="18"/>
          <w:lang w:val="en-US" w:eastAsia="zh-CN" w:bidi="ar-SA"/>
        </w:rPr>
        <w:drawing>
          <wp:anchor distT="0" distB="0" distL="114300" distR="114300" simplePos="0" relativeHeight="251658240" behindDoc="1" locked="0" layoutInCell="1" allowOverlap="1" wp14:anchorId="01B3DF24" wp14:editId="19EE7060">
            <wp:simplePos x="0" y="0"/>
            <wp:positionH relativeFrom="page">
              <wp:posOffset>324279</wp:posOffset>
            </wp:positionH>
            <wp:positionV relativeFrom="paragraph">
              <wp:posOffset>-95250</wp:posOffset>
            </wp:positionV>
            <wp:extent cx="6202018" cy="566102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092" t="8223" r="18561" b="35465"/>
                    <a:stretch/>
                  </pic:blipFill>
                  <pic:spPr bwMode="auto">
                    <a:xfrm>
                      <a:off x="0" y="0"/>
                      <a:ext cx="6202018" cy="566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14FC1CEA" w:rsidR="00807C36" w:rsidRPr="002A002F" w:rsidRDefault="00807C36" w:rsidP="001D4B6B">
      <w:pPr>
        <w:pStyle w:val="ProductList-Body"/>
        <w:tabs>
          <w:tab w:val="clear" w:pos="360"/>
          <w:tab w:val="clear" w:pos="720"/>
          <w:tab w:val="clear" w:pos="1080"/>
        </w:tabs>
        <w:ind w:left="360" w:right="8064"/>
        <w:jc w:val="both"/>
        <w:rPr>
          <w:rFonts w:asciiTheme="majorHAnsi" w:hAnsiTheme="majorHAnsi"/>
          <w:color w:val="FFFFFF" w:themeColor="background1"/>
          <w:spacing w:val="-4"/>
          <w:sz w:val="32"/>
          <w:szCs w:val="32"/>
        </w:rPr>
      </w:pPr>
      <w:bookmarkStart w:id="0" w:name="CoverPage"/>
      <w:r w:rsidRPr="002A002F">
        <w:rPr>
          <w:rFonts w:asciiTheme="majorHAnsi" w:hAnsiTheme="majorHAnsi"/>
          <w:color w:val="FFFFFF" w:themeColor="background1"/>
          <w:spacing w:val="-4"/>
          <w:sz w:val="32"/>
          <w:szCs w:val="32"/>
        </w:rPr>
        <w:t xml:space="preserve">Licenciamento </w:t>
      </w:r>
      <w:bookmarkEnd w:id="0"/>
      <w:r w:rsidR="002A002F">
        <w:rPr>
          <w:rFonts w:asciiTheme="majorHAnsi" w:hAnsiTheme="majorHAnsi"/>
          <w:color w:val="FFFFFF" w:themeColor="background1"/>
          <w:spacing w:val="-4"/>
          <w:sz w:val="32"/>
          <w:szCs w:val="32"/>
        </w:rPr>
        <w:br/>
      </w:r>
      <w:r w:rsidRPr="002A002F">
        <w:rPr>
          <w:rFonts w:asciiTheme="majorHAnsi" w:hAnsiTheme="majorHAnsi"/>
          <w:color w:val="FFFFFF" w:themeColor="background1"/>
          <w:spacing w:val="-4"/>
          <w:sz w:val="32"/>
          <w:szCs w:val="32"/>
        </w:rPr>
        <w:t>em Volume</w:t>
      </w:r>
    </w:p>
    <w:p w14:paraId="06465CAA" w14:textId="04719F15" w:rsidR="00807C36" w:rsidRPr="00EF7CF9" w:rsidRDefault="00807C36" w:rsidP="001D4B6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1D4B6B">
      <w:pPr>
        <w:pStyle w:val="ProductList-Body"/>
        <w:tabs>
          <w:tab w:val="clear" w:pos="360"/>
          <w:tab w:val="clear" w:pos="720"/>
          <w:tab w:val="clear" w:pos="1080"/>
        </w:tabs>
        <w:ind w:left="360" w:right="2241"/>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os Serviços Online da Microsoft</w:t>
      </w:r>
    </w:p>
    <w:p w14:paraId="791F7AAF" w14:textId="44A04292" w:rsidR="002A586E" w:rsidRPr="00EF7CF9" w:rsidRDefault="00126DC2" w:rsidP="001D4B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CA623A">
        <w:rPr>
          <w:rFonts w:asciiTheme="majorHAnsi" w:hAnsiTheme="majorHAnsi"/>
          <w:color w:val="FFFFFF" w:themeColor="background1"/>
          <w:sz w:val="72"/>
          <w:szCs w:val="72"/>
        </w:rPr>
        <w:t>8</w:t>
      </w:r>
      <w:r>
        <w:rPr>
          <w:rFonts w:asciiTheme="majorHAnsi" w:hAnsiTheme="majorHAnsi"/>
          <w:color w:val="FFFFFF" w:themeColor="background1"/>
          <w:sz w:val="72"/>
          <w:szCs w:val="72"/>
        </w:rPr>
        <w:t xml:space="preserve"> de </w:t>
      </w:r>
      <w:r w:rsidR="00527010">
        <w:rPr>
          <w:rFonts w:ascii="Calibri Light" w:hAnsi="Calibri Light" w:cs="Calibri Light"/>
          <w:color w:val="FFFFFF" w:themeColor="background1"/>
          <w:sz w:val="72"/>
          <w:szCs w:val="72"/>
        </w:rPr>
        <w:t>novem</w:t>
      </w:r>
      <w:r w:rsidR="00165C82">
        <w:rPr>
          <w:rFonts w:ascii="Calibri Light" w:hAnsi="Calibri Light" w:cs="Calibri Light"/>
          <w:color w:val="FFFFFF" w:themeColor="background1"/>
          <w:sz w:val="72"/>
          <w:szCs w:val="72"/>
        </w:rPr>
        <w:t>bro</w:t>
      </w:r>
      <w:r w:rsidR="006E320D" w:rsidRPr="0070603B">
        <w:rPr>
          <w:rFonts w:ascii="Calibri Light" w:hAnsi="Calibri Light" w:cs="Calibri Light"/>
          <w:color w:val="FFFFFF" w:themeColor="background1"/>
          <w:sz w:val="72"/>
          <w:szCs w:val="72"/>
        </w:rPr>
        <w:t xml:space="preserve"> de 202</w:t>
      </w:r>
      <w:r w:rsidR="0072252B">
        <w:rPr>
          <w:rFonts w:ascii="Calibri Light" w:hAnsi="Calibri Light" w:cs="Calibri Light"/>
          <w:color w:val="FFFFFF" w:themeColor="background1"/>
          <w:sz w:val="72"/>
          <w:szCs w:val="72"/>
        </w:rPr>
        <w:t>5</w:t>
      </w:r>
    </w:p>
    <w:p w14:paraId="07F7DEEF" w14:textId="3FEB413B"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8B1CA1">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B1CA1">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Índice"/>
      <w:bookmarkStart w:id="6" w:name="_Toc214456720"/>
      <w:r>
        <w:lastRenderedPageBreak/>
        <w:t>Índice</w:t>
      </w:r>
      <w:bookmarkEnd w:id="1"/>
      <w:bookmarkEnd w:id="2"/>
      <w:bookmarkEnd w:id="3"/>
      <w:bookmarkEnd w:id="4"/>
      <w:bookmarkEnd w:id="5"/>
      <w:bookmarkEnd w:id="6"/>
      <w:permStart w:id="522849848" w:edGrp="everyone"/>
      <w:permEnd w:id="522849848"/>
    </w:p>
    <w:p w14:paraId="0B43922E" w14:textId="5F88CCE4" w:rsidR="001A7EE4"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4456720" w:history="1">
        <w:r w:rsidR="001A7EE4" w:rsidRPr="004460C9">
          <w:rPr>
            <w:rStyle w:val="Hyperlink"/>
            <w:noProof/>
          </w:rPr>
          <w:t>Índice</w:t>
        </w:r>
        <w:r w:rsidR="001A7EE4">
          <w:rPr>
            <w:noProof/>
            <w:webHidden/>
          </w:rPr>
          <w:tab/>
        </w:r>
        <w:r w:rsidR="001A7EE4">
          <w:rPr>
            <w:noProof/>
            <w:webHidden/>
          </w:rPr>
          <w:fldChar w:fldCharType="begin"/>
        </w:r>
        <w:r w:rsidR="001A7EE4">
          <w:rPr>
            <w:noProof/>
            <w:webHidden/>
          </w:rPr>
          <w:instrText xml:space="preserve"> PAGEREF _Toc214456720 \h </w:instrText>
        </w:r>
        <w:r w:rsidR="001A7EE4">
          <w:rPr>
            <w:noProof/>
            <w:webHidden/>
          </w:rPr>
        </w:r>
        <w:r w:rsidR="001A7EE4">
          <w:rPr>
            <w:noProof/>
            <w:webHidden/>
          </w:rPr>
          <w:fldChar w:fldCharType="separate"/>
        </w:r>
        <w:r w:rsidR="001A7EE4">
          <w:rPr>
            <w:noProof/>
            <w:webHidden/>
          </w:rPr>
          <w:t>2</w:t>
        </w:r>
        <w:r w:rsidR="001A7EE4">
          <w:rPr>
            <w:noProof/>
            <w:webHidden/>
          </w:rPr>
          <w:fldChar w:fldCharType="end"/>
        </w:r>
      </w:hyperlink>
    </w:p>
    <w:p w14:paraId="3A4BB6DE" w14:textId="2EA865D3" w:rsidR="001A7EE4" w:rsidRDefault="001A7EE4">
      <w:pPr>
        <w:pStyle w:val="TOC1"/>
        <w:rPr>
          <w:rFonts w:eastAsiaTheme="minorEastAsia"/>
          <w:b w:val="0"/>
          <w:caps w:val="0"/>
          <w:noProof/>
          <w:kern w:val="2"/>
          <w:sz w:val="24"/>
          <w:szCs w:val="24"/>
          <w:lang w:val="en-US" w:eastAsia="en-US" w:bidi="ar-SA"/>
          <w14:ligatures w14:val="standardContextual"/>
        </w:rPr>
      </w:pPr>
      <w:hyperlink w:anchor="_Toc214456721" w:history="1">
        <w:r w:rsidRPr="004460C9">
          <w:rPr>
            <w:rStyle w:val="Hyperlink"/>
            <w:noProof/>
          </w:rPr>
          <w:t>Introdução</w:t>
        </w:r>
        <w:r>
          <w:rPr>
            <w:noProof/>
            <w:webHidden/>
          </w:rPr>
          <w:tab/>
        </w:r>
        <w:r>
          <w:rPr>
            <w:noProof/>
            <w:webHidden/>
          </w:rPr>
          <w:fldChar w:fldCharType="begin"/>
        </w:r>
        <w:r>
          <w:rPr>
            <w:noProof/>
            <w:webHidden/>
          </w:rPr>
          <w:instrText xml:space="preserve"> PAGEREF _Toc214456721 \h </w:instrText>
        </w:r>
        <w:r>
          <w:rPr>
            <w:noProof/>
            <w:webHidden/>
          </w:rPr>
        </w:r>
        <w:r>
          <w:rPr>
            <w:noProof/>
            <w:webHidden/>
          </w:rPr>
          <w:fldChar w:fldCharType="separate"/>
        </w:r>
        <w:r>
          <w:rPr>
            <w:noProof/>
            <w:webHidden/>
          </w:rPr>
          <w:t>4</w:t>
        </w:r>
        <w:r>
          <w:rPr>
            <w:noProof/>
            <w:webHidden/>
          </w:rPr>
          <w:fldChar w:fldCharType="end"/>
        </w:r>
      </w:hyperlink>
    </w:p>
    <w:p w14:paraId="05B3396B" w14:textId="60CBFBE1" w:rsidR="001A7EE4" w:rsidRDefault="001A7EE4">
      <w:pPr>
        <w:pStyle w:val="TOC1"/>
        <w:rPr>
          <w:rFonts w:eastAsiaTheme="minorEastAsia"/>
          <w:b w:val="0"/>
          <w:caps w:val="0"/>
          <w:noProof/>
          <w:kern w:val="2"/>
          <w:sz w:val="24"/>
          <w:szCs w:val="24"/>
          <w:lang w:val="en-US" w:eastAsia="en-US" w:bidi="ar-SA"/>
          <w14:ligatures w14:val="standardContextual"/>
        </w:rPr>
      </w:pPr>
      <w:hyperlink w:anchor="_Toc214456722" w:history="1">
        <w:r w:rsidRPr="004460C9">
          <w:rPr>
            <w:rStyle w:val="Hyperlink"/>
            <w:noProof/>
          </w:rPr>
          <w:t>Termos Gerais</w:t>
        </w:r>
        <w:r>
          <w:rPr>
            <w:noProof/>
            <w:webHidden/>
          </w:rPr>
          <w:tab/>
        </w:r>
        <w:r>
          <w:rPr>
            <w:noProof/>
            <w:webHidden/>
          </w:rPr>
          <w:fldChar w:fldCharType="begin"/>
        </w:r>
        <w:r>
          <w:rPr>
            <w:noProof/>
            <w:webHidden/>
          </w:rPr>
          <w:instrText xml:space="preserve"> PAGEREF _Toc214456722 \h </w:instrText>
        </w:r>
        <w:r>
          <w:rPr>
            <w:noProof/>
            <w:webHidden/>
          </w:rPr>
        </w:r>
        <w:r>
          <w:rPr>
            <w:noProof/>
            <w:webHidden/>
          </w:rPr>
          <w:fldChar w:fldCharType="separate"/>
        </w:r>
        <w:r>
          <w:rPr>
            <w:noProof/>
            <w:webHidden/>
          </w:rPr>
          <w:t>5</w:t>
        </w:r>
        <w:r>
          <w:rPr>
            <w:noProof/>
            <w:webHidden/>
          </w:rPr>
          <w:fldChar w:fldCharType="end"/>
        </w:r>
      </w:hyperlink>
    </w:p>
    <w:p w14:paraId="47AE7E62" w14:textId="4477A381" w:rsidR="001A7EE4" w:rsidRDefault="001A7EE4">
      <w:pPr>
        <w:pStyle w:val="TOC1"/>
        <w:rPr>
          <w:rFonts w:eastAsiaTheme="minorEastAsia"/>
          <w:b w:val="0"/>
          <w:caps w:val="0"/>
          <w:noProof/>
          <w:kern w:val="2"/>
          <w:sz w:val="24"/>
          <w:szCs w:val="24"/>
          <w:lang w:val="en-US" w:eastAsia="en-US" w:bidi="ar-SA"/>
          <w14:ligatures w14:val="standardContextual"/>
        </w:rPr>
      </w:pPr>
      <w:hyperlink w:anchor="_Toc214456723" w:history="1">
        <w:r w:rsidRPr="004460C9">
          <w:rPr>
            <w:rStyle w:val="Hyperlink"/>
            <w:noProof/>
          </w:rPr>
          <w:t>Termos Específicos do Serviço</w:t>
        </w:r>
        <w:r>
          <w:rPr>
            <w:noProof/>
            <w:webHidden/>
          </w:rPr>
          <w:tab/>
        </w:r>
        <w:r>
          <w:rPr>
            <w:noProof/>
            <w:webHidden/>
          </w:rPr>
          <w:fldChar w:fldCharType="begin"/>
        </w:r>
        <w:r>
          <w:rPr>
            <w:noProof/>
            <w:webHidden/>
          </w:rPr>
          <w:instrText xml:space="preserve"> PAGEREF _Toc214456723 \h </w:instrText>
        </w:r>
        <w:r>
          <w:rPr>
            <w:noProof/>
            <w:webHidden/>
          </w:rPr>
        </w:r>
        <w:r>
          <w:rPr>
            <w:noProof/>
            <w:webHidden/>
          </w:rPr>
          <w:fldChar w:fldCharType="separate"/>
        </w:r>
        <w:r>
          <w:rPr>
            <w:noProof/>
            <w:webHidden/>
          </w:rPr>
          <w:t>7</w:t>
        </w:r>
        <w:r>
          <w:rPr>
            <w:noProof/>
            <w:webHidden/>
          </w:rPr>
          <w:fldChar w:fldCharType="end"/>
        </w:r>
      </w:hyperlink>
    </w:p>
    <w:p w14:paraId="0C335E81" w14:textId="6DB64A49" w:rsidR="001A7EE4" w:rsidRDefault="001A7EE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456724" w:history="1">
        <w:r w:rsidRPr="004460C9">
          <w:rPr>
            <w:rStyle w:val="Hyperlink"/>
            <w:noProof/>
          </w:rPr>
          <w:t>Microsoft Dynamics 365</w:t>
        </w:r>
        <w:r>
          <w:rPr>
            <w:noProof/>
            <w:webHidden/>
          </w:rPr>
          <w:tab/>
        </w:r>
        <w:r>
          <w:rPr>
            <w:noProof/>
            <w:webHidden/>
          </w:rPr>
          <w:fldChar w:fldCharType="begin"/>
        </w:r>
        <w:r>
          <w:rPr>
            <w:noProof/>
            <w:webHidden/>
          </w:rPr>
          <w:instrText xml:space="preserve"> PAGEREF _Toc214456724 \h </w:instrText>
        </w:r>
        <w:r>
          <w:rPr>
            <w:noProof/>
            <w:webHidden/>
          </w:rPr>
        </w:r>
        <w:r>
          <w:rPr>
            <w:noProof/>
            <w:webHidden/>
          </w:rPr>
          <w:fldChar w:fldCharType="separate"/>
        </w:r>
        <w:r>
          <w:rPr>
            <w:noProof/>
            <w:webHidden/>
          </w:rPr>
          <w:t>7</w:t>
        </w:r>
        <w:r>
          <w:rPr>
            <w:noProof/>
            <w:webHidden/>
          </w:rPr>
          <w:fldChar w:fldCharType="end"/>
        </w:r>
      </w:hyperlink>
    </w:p>
    <w:p w14:paraId="29BD39BB" w14:textId="6E1D61E2" w:rsidR="001A7EE4" w:rsidRDefault="001A7EE4">
      <w:pPr>
        <w:pStyle w:val="TOC4"/>
        <w:rPr>
          <w:rFonts w:eastAsiaTheme="minorEastAsia"/>
          <w:smallCaps w:val="0"/>
          <w:noProof/>
          <w:kern w:val="2"/>
          <w:sz w:val="24"/>
          <w:szCs w:val="24"/>
          <w:lang w:val="en-US" w:eastAsia="en-US" w:bidi="ar-SA"/>
          <w14:ligatures w14:val="standardContextual"/>
        </w:rPr>
      </w:pPr>
      <w:hyperlink w:anchor="_Toc214456725" w:history="1">
        <w:r w:rsidRPr="004460C9">
          <w:rPr>
            <w:rStyle w:val="Hyperlink"/>
            <w:noProof/>
          </w:rPr>
          <w:t>Dynamics 365 Business Central</w:t>
        </w:r>
        <w:r>
          <w:rPr>
            <w:noProof/>
            <w:webHidden/>
          </w:rPr>
          <w:tab/>
        </w:r>
        <w:r>
          <w:rPr>
            <w:noProof/>
            <w:webHidden/>
          </w:rPr>
          <w:fldChar w:fldCharType="begin"/>
        </w:r>
        <w:r>
          <w:rPr>
            <w:noProof/>
            <w:webHidden/>
          </w:rPr>
          <w:instrText xml:space="preserve"> PAGEREF _Toc214456725 \h </w:instrText>
        </w:r>
        <w:r>
          <w:rPr>
            <w:noProof/>
            <w:webHidden/>
          </w:rPr>
        </w:r>
        <w:r>
          <w:rPr>
            <w:noProof/>
            <w:webHidden/>
          </w:rPr>
          <w:fldChar w:fldCharType="separate"/>
        </w:r>
        <w:r>
          <w:rPr>
            <w:noProof/>
            <w:webHidden/>
          </w:rPr>
          <w:t>7</w:t>
        </w:r>
        <w:r>
          <w:rPr>
            <w:noProof/>
            <w:webHidden/>
          </w:rPr>
          <w:fldChar w:fldCharType="end"/>
        </w:r>
      </w:hyperlink>
    </w:p>
    <w:p w14:paraId="5B5C7D9E" w14:textId="743FF6F9" w:rsidR="001A7EE4" w:rsidRDefault="001A7EE4">
      <w:pPr>
        <w:pStyle w:val="TOC4"/>
        <w:rPr>
          <w:rFonts w:eastAsiaTheme="minorEastAsia"/>
          <w:smallCaps w:val="0"/>
          <w:noProof/>
          <w:kern w:val="2"/>
          <w:sz w:val="24"/>
          <w:szCs w:val="24"/>
          <w:lang w:val="en-US" w:eastAsia="en-US" w:bidi="ar-SA"/>
          <w14:ligatures w14:val="standardContextual"/>
        </w:rPr>
      </w:pPr>
      <w:hyperlink w:anchor="_Toc214456726" w:history="1">
        <w:r w:rsidRPr="004460C9">
          <w:rPr>
            <w:rStyle w:val="Hyperlink"/>
            <w:noProof/>
          </w:rPr>
          <w:t>Dynamics 365 Commerce</w:t>
        </w:r>
        <w:r>
          <w:rPr>
            <w:noProof/>
            <w:webHidden/>
          </w:rPr>
          <w:tab/>
        </w:r>
        <w:r>
          <w:rPr>
            <w:noProof/>
            <w:webHidden/>
          </w:rPr>
          <w:fldChar w:fldCharType="begin"/>
        </w:r>
        <w:r>
          <w:rPr>
            <w:noProof/>
            <w:webHidden/>
          </w:rPr>
          <w:instrText xml:space="preserve"> PAGEREF _Toc214456726 \h </w:instrText>
        </w:r>
        <w:r>
          <w:rPr>
            <w:noProof/>
            <w:webHidden/>
          </w:rPr>
        </w:r>
        <w:r>
          <w:rPr>
            <w:noProof/>
            <w:webHidden/>
          </w:rPr>
          <w:fldChar w:fldCharType="separate"/>
        </w:r>
        <w:r>
          <w:rPr>
            <w:noProof/>
            <w:webHidden/>
          </w:rPr>
          <w:t>7</w:t>
        </w:r>
        <w:r>
          <w:rPr>
            <w:noProof/>
            <w:webHidden/>
          </w:rPr>
          <w:fldChar w:fldCharType="end"/>
        </w:r>
      </w:hyperlink>
    </w:p>
    <w:p w14:paraId="064C0991" w14:textId="7E374EB9" w:rsidR="001A7EE4" w:rsidRDefault="001A7EE4">
      <w:pPr>
        <w:pStyle w:val="TOC4"/>
        <w:rPr>
          <w:rFonts w:eastAsiaTheme="minorEastAsia"/>
          <w:smallCaps w:val="0"/>
          <w:noProof/>
          <w:kern w:val="2"/>
          <w:sz w:val="24"/>
          <w:szCs w:val="24"/>
          <w:lang w:val="en-US" w:eastAsia="en-US" w:bidi="ar-SA"/>
          <w14:ligatures w14:val="standardContextual"/>
        </w:rPr>
      </w:pPr>
      <w:hyperlink w:anchor="_Toc214456727" w:history="1">
        <w:r w:rsidRPr="004460C9">
          <w:rPr>
            <w:rStyle w:val="Hyperlink"/>
            <w:noProof/>
          </w:rPr>
          <w:t>Dynamics 365 Contact Center</w:t>
        </w:r>
        <w:r>
          <w:rPr>
            <w:noProof/>
            <w:webHidden/>
          </w:rPr>
          <w:tab/>
        </w:r>
        <w:r>
          <w:rPr>
            <w:noProof/>
            <w:webHidden/>
          </w:rPr>
          <w:fldChar w:fldCharType="begin"/>
        </w:r>
        <w:r>
          <w:rPr>
            <w:noProof/>
            <w:webHidden/>
          </w:rPr>
          <w:instrText xml:space="preserve"> PAGEREF _Toc214456727 \h </w:instrText>
        </w:r>
        <w:r>
          <w:rPr>
            <w:noProof/>
            <w:webHidden/>
          </w:rPr>
        </w:r>
        <w:r>
          <w:rPr>
            <w:noProof/>
            <w:webHidden/>
          </w:rPr>
          <w:fldChar w:fldCharType="separate"/>
        </w:r>
        <w:r>
          <w:rPr>
            <w:noProof/>
            <w:webHidden/>
          </w:rPr>
          <w:t>8</w:t>
        </w:r>
        <w:r>
          <w:rPr>
            <w:noProof/>
            <w:webHidden/>
          </w:rPr>
          <w:fldChar w:fldCharType="end"/>
        </w:r>
      </w:hyperlink>
    </w:p>
    <w:p w14:paraId="2E17BA1F" w14:textId="238E2A69" w:rsidR="001A7EE4" w:rsidRDefault="001A7EE4">
      <w:pPr>
        <w:pStyle w:val="TOC4"/>
        <w:rPr>
          <w:rFonts w:eastAsiaTheme="minorEastAsia"/>
          <w:smallCaps w:val="0"/>
          <w:noProof/>
          <w:kern w:val="2"/>
          <w:sz w:val="24"/>
          <w:szCs w:val="24"/>
          <w:lang w:val="en-US" w:eastAsia="en-US" w:bidi="ar-SA"/>
          <w14:ligatures w14:val="standardContextual"/>
        </w:rPr>
      </w:pPr>
      <w:hyperlink w:anchor="_Toc214456728" w:history="1">
        <w:r w:rsidRPr="004460C9">
          <w:rPr>
            <w:rStyle w:val="Hyperlink"/>
            <w:noProof/>
          </w:rPr>
          <w:t>Dynamics 365 Customer Insights</w:t>
        </w:r>
        <w:r>
          <w:rPr>
            <w:noProof/>
            <w:webHidden/>
          </w:rPr>
          <w:tab/>
        </w:r>
        <w:r>
          <w:rPr>
            <w:noProof/>
            <w:webHidden/>
          </w:rPr>
          <w:fldChar w:fldCharType="begin"/>
        </w:r>
        <w:r>
          <w:rPr>
            <w:noProof/>
            <w:webHidden/>
          </w:rPr>
          <w:instrText xml:space="preserve"> PAGEREF _Toc214456728 \h </w:instrText>
        </w:r>
        <w:r>
          <w:rPr>
            <w:noProof/>
            <w:webHidden/>
          </w:rPr>
        </w:r>
        <w:r>
          <w:rPr>
            <w:noProof/>
            <w:webHidden/>
          </w:rPr>
          <w:fldChar w:fldCharType="separate"/>
        </w:r>
        <w:r>
          <w:rPr>
            <w:noProof/>
            <w:webHidden/>
          </w:rPr>
          <w:t>8</w:t>
        </w:r>
        <w:r>
          <w:rPr>
            <w:noProof/>
            <w:webHidden/>
          </w:rPr>
          <w:fldChar w:fldCharType="end"/>
        </w:r>
      </w:hyperlink>
    </w:p>
    <w:p w14:paraId="5F4C04D0" w14:textId="63B085A1" w:rsidR="001A7EE4" w:rsidRDefault="001A7EE4">
      <w:pPr>
        <w:pStyle w:val="TOC4"/>
        <w:rPr>
          <w:rFonts w:eastAsiaTheme="minorEastAsia"/>
          <w:smallCaps w:val="0"/>
          <w:noProof/>
          <w:kern w:val="2"/>
          <w:sz w:val="24"/>
          <w:szCs w:val="24"/>
          <w:lang w:val="en-US" w:eastAsia="en-US" w:bidi="ar-SA"/>
          <w14:ligatures w14:val="standardContextual"/>
        </w:rPr>
      </w:pPr>
      <w:hyperlink w:anchor="_Toc214456729" w:history="1">
        <w:r w:rsidRPr="004460C9">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_Toc214456729 \h </w:instrText>
        </w:r>
        <w:r>
          <w:rPr>
            <w:noProof/>
            <w:webHidden/>
          </w:rPr>
        </w:r>
        <w:r>
          <w:rPr>
            <w:noProof/>
            <w:webHidden/>
          </w:rPr>
          <w:fldChar w:fldCharType="separate"/>
        </w:r>
        <w:r>
          <w:rPr>
            <w:noProof/>
            <w:webHidden/>
          </w:rPr>
          <w:t>9</w:t>
        </w:r>
        <w:r>
          <w:rPr>
            <w:noProof/>
            <w:webHidden/>
          </w:rPr>
          <w:fldChar w:fldCharType="end"/>
        </w:r>
      </w:hyperlink>
    </w:p>
    <w:p w14:paraId="02617955" w14:textId="4975EFC7" w:rsidR="001A7EE4" w:rsidRDefault="001A7EE4">
      <w:pPr>
        <w:pStyle w:val="TOC4"/>
        <w:rPr>
          <w:rFonts w:eastAsiaTheme="minorEastAsia"/>
          <w:smallCaps w:val="0"/>
          <w:noProof/>
          <w:kern w:val="2"/>
          <w:sz w:val="24"/>
          <w:szCs w:val="24"/>
          <w:lang w:val="en-US" w:eastAsia="en-US" w:bidi="ar-SA"/>
          <w14:ligatures w14:val="standardContextual"/>
        </w:rPr>
      </w:pPr>
      <w:hyperlink w:anchor="_Toc214456730" w:history="1">
        <w:r w:rsidRPr="004460C9">
          <w:rPr>
            <w:rStyle w:val="Hyperlink"/>
            <w:noProof/>
          </w:rPr>
          <w:t>Guias do Dynamics 365</w:t>
        </w:r>
        <w:r>
          <w:rPr>
            <w:noProof/>
            <w:webHidden/>
          </w:rPr>
          <w:tab/>
        </w:r>
        <w:r>
          <w:rPr>
            <w:noProof/>
            <w:webHidden/>
          </w:rPr>
          <w:fldChar w:fldCharType="begin"/>
        </w:r>
        <w:r>
          <w:rPr>
            <w:noProof/>
            <w:webHidden/>
          </w:rPr>
          <w:instrText xml:space="preserve"> PAGEREF _Toc214456730 \h </w:instrText>
        </w:r>
        <w:r>
          <w:rPr>
            <w:noProof/>
            <w:webHidden/>
          </w:rPr>
        </w:r>
        <w:r>
          <w:rPr>
            <w:noProof/>
            <w:webHidden/>
          </w:rPr>
          <w:fldChar w:fldCharType="separate"/>
        </w:r>
        <w:r>
          <w:rPr>
            <w:noProof/>
            <w:webHidden/>
          </w:rPr>
          <w:t>9</w:t>
        </w:r>
        <w:r>
          <w:rPr>
            <w:noProof/>
            <w:webHidden/>
          </w:rPr>
          <w:fldChar w:fldCharType="end"/>
        </w:r>
      </w:hyperlink>
    </w:p>
    <w:p w14:paraId="70785637" w14:textId="624808F1" w:rsidR="001A7EE4" w:rsidRDefault="001A7EE4">
      <w:pPr>
        <w:pStyle w:val="TOC4"/>
        <w:rPr>
          <w:rFonts w:eastAsiaTheme="minorEastAsia"/>
          <w:smallCaps w:val="0"/>
          <w:noProof/>
          <w:kern w:val="2"/>
          <w:sz w:val="24"/>
          <w:szCs w:val="24"/>
          <w:lang w:val="en-US" w:eastAsia="en-US" w:bidi="ar-SA"/>
          <w14:ligatures w14:val="standardContextual"/>
        </w:rPr>
      </w:pPr>
      <w:hyperlink w:anchor="_Toc214456731" w:history="1">
        <w:r w:rsidRPr="004460C9">
          <w:rPr>
            <w:rStyle w:val="Hyperlink"/>
            <w:noProof/>
          </w:rPr>
          <w:t>Dynamics 365 Human Resources</w:t>
        </w:r>
        <w:r>
          <w:rPr>
            <w:noProof/>
            <w:webHidden/>
          </w:rPr>
          <w:tab/>
        </w:r>
        <w:r>
          <w:rPr>
            <w:noProof/>
            <w:webHidden/>
          </w:rPr>
          <w:fldChar w:fldCharType="begin"/>
        </w:r>
        <w:r>
          <w:rPr>
            <w:noProof/>
            <w:webHidden/>
          </w:rPr>
          <w:instrText xml:space="preserve"> PAGEREF _Toc214456731 \h </w:instrText>
        </w:r>
        <w:r>
          <w:rPr>
            <w:noProof/>
            <w:webHidden/>
          </w:rPr>
        </w:r>
        <w:r>
          <w:rPr>
            <w:noProof/>
            <w:webHidden/>
          </w:rPr>
          <w:fldChar w:fldCharType="separate"/>
        </w:r>
        <w:r>
          <w:rPr>
            <w:noProof/>
            <w:webHidden/>
          </w:rPr>
          <w:t>9</w:t>
        </w:r>
        <w:r>
          <w:rPr>
            <w:noProof/>
            <w:webHidden/>
          </w:rPr>
          <w:fldChar w:fldCharType="end"/>
        </w:r>
      </w:hyperlink>
    </w:p>
    <w:p w14:paraId="53907FDB" w14:textId="111FAFD7" w:rsidR="001A7EE4" w:rsidRDefault="001A7EE4">
      <w:pPr>
        <w:pStyle w:val="TOC4"/>
        <w:rPr>
          <w:rFonts w:eastAsiaTheme="minorEastAsia"/>
          <w:smallCaps w:val="0"/>
          <w:noProof/>
          <w:kern w:val="2"/>
          <w:sz w:val="24"/>
          <w:szCs w:val="24"/>
          <w:lang w:val="en-US" w:eastAsia="en-US" w:bidi="ar-SA"/>
          <w14:ligatures w14:val="standardContextual"/>
        </w:rPr>
      </w:pPr>
      <w:hyperlink w:anchor="_Toc214456732" w:history="1">
        <w:r w:rsidRPr="004460C9">
          <w:rPr>
            <w:rStyle w:val="Hyperlink"/>
            <w:noProof/>
          </w:rPr>
          <w:t>Dynamics 365 Intelligent Order Management</w:t>
        </w:r>
        <w:r>
          <w:rPr>
            <w:noProof/>
            <w:webHidden/>
          </w:rPr>
          <w:tab/>
        </w:r>
        <w:r>
          <w:rPr>
            <w:noProof/>
            <w:webHidden/>
          </w:rPr>
          <w:fldChar w:fldCharType="begin"/>
        </w:r>
        <w:r>
          <w:rPr>
            <w:noProof/>
            <w:webHidden/>
          </w:rPr>
          <w:instrText xml:space="preserve"> PAGEREF _Toc214456732 \h </w:instrText>
        </w:r>
        <w:r>
          <w:rPr>
            <w:noProof/>
            <w:webHidden/>
          </w:rPr>
        </w:r>
        <w:r>
          <w:rPr>
            <w:noProof/>
            <w:webHidden/>
          </w:rPr>
          <w:fldChar w:fldCharType="separate"/>
        </w:r>
        <w:r>
          <w:rPr>
            <w:noProof/>
            <w:webHidden/>
          </w:rPr>
          <w:t>10</w:t>
        </w:r>
        <w:r>
          <w:rPr>
            <w:noProof/>
            <w:webHidden/>
          </w:rPr>
          <w:fldChar w:fldCharType="end"/>
        </w:r>
      </w:hyperlink>
    </w:p>
    <w:p w14:paraId="6985D97C" w14:textId="0C8995E2" w:rsidR="001A7EE4" w:rsidRDefault="001A7EE4">
      <w:pPr>
        <w:pStyle w:val="TOC4"/>
        <w:rPr>
          <w:rFonts w:eastAsiaTheme="minorEastAsia"/>
          <w:smallCaps w:val="0"/>
          <w:noProof/>
          <w:kern w:val="2"/>
          <w:sz w:val="24"/>
          <w:szCs w:val="24"/>
          <w:lang w:val="en-US" w:eastAsia="en-US" w:bidi="ar-SA"/>
          <w14:ligatures w14:val="standardContextual"/>
        </w:rPr>
      </w:pPr>
      <w:hyperlink w:anchor="_Toc214456733" w:history="1">
        <w:r w:rsidRPr="004460C9">
          <w:rPr>
            <w:rStyle w:val="Hyperlink"/>
            <w:noProof/>
          </w:rPr>
          <w:t>Dynamics 365 Remote Assist</w:t>
        </w:r>
        <w:r>
          <w:rPr>
            <w:noProof/>
            <w:webHidden/>
          </w:rPr>
          <w:tab/>
        </w:r>
        <w:r>
          <w:rPr>
            <w:noProof/>
            <w:webHidden/>
          </w:rPr>
          <w:fldChar w:fldCharType="begin"/>
        </w:r>
        <w:r>
          <w:rPr>
            <w:noProof/>
            <w:webHidden/>
          </w:rPr>
          <w:instrText xml:space="preserve"> PAGEREF _Toc214456733 \h </w:instrText>
        </w:r>
        <w:r>
          <w:rPr>
            <w:noProof/>
            <w:webHidden/>
          </w:rPr>
        </w:r>
        <w:r>
          <w:rPr>
            <w:noProof/>
            <w:webHidden/>
          </w:rPr>
          <w:fldChar w:fldCharType="separate"/>
        </w:r>
        <w:r>
          <w:rPr>
            <w:noProof/>
            <w:webHidden/>
          </w:rPr>
          <w:t>10</w:t>
        </w:r>
        <w:r>
          <w:rPr>
            <w:noProof/>
            <w:webHidden/>
          </w:rPr>
          <w:fldChar w:fldCharType="end"/>
        </w:r>
      </w:hyperlink>
    </w:p>
    <w:p w14:paraId="4EF55D96" w14:textId="7BB00CF4" w:rsidR="001A7EE4" w:rsidRDefault="001A7EE4">
      <w:pPr>
        <w:pStyle w:val="TOC4"/>
        <w:rPr>
          <w:rFonts w:eastAsiaTheme="minorEastAsia"/>
          <w:smallCaps w:val="0"/>
          <w:noProof/>
          <w:kern w:val="2"/>
          <w:sz w:val="24"/>
          <w:szCs w:val="24"/>
          <w:lang w:val="en-US" w:eastAsia="en-US" w:bidi="ar-SA"/>
          <w14:ligatures w14:val="standardContextual"/>
        </w:rPr>
      </w:pPr>
      <w:hyperlink w:anchor="_Toc214456734" w:history="1">
        <w:r w:rsidRPr="004460C9">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_Toc214456734 \h </w:instrText>
        </w:r>
        <w:r>
          <w:rPr>
            <w:noProof/>
            <w:webHidden/>
          </w:rPr>
        </w:r>
        <w:r>
          <w:rPr>
            <w:noProof/>
            <w:webHidden/>
          </w:rPr>
          <w:fldChar w:fldCharType="separate"/>
        </w:r>
        <w:r>
          <w:rPr>
            <w:noProof/>
            <w:webHidden/>
          </w:rPr>
          <w:t>11</w:t>
        </w:r>
        <w:r>
          <w:rPr>
            <w:noProof/>
            <w:webHidden/>
          </w:rPr>
          <w:fldChar w:fldCharType="end"/>
        </w:r>
      </w:hyperlink>
    </w:p>
    <w:p w14:paraId="361420C7" w14:textId="62579418" w:rsidR="001A7EE4" w:rsidRDefault="001A7EE4">
      <w:pPr>
        <w:pStyle w:val="TOC4"/>
        <w:rPr>
          <w:rFonts w:eastAsiaTheme="minorEastAsia"/>
          <w:smallCaps w:val="0"/>
          <w:noProof/>
          <w:kern w:val="2"/>
          <w:sz w:val="24"/>
          <w:szCs w:val="24"/>
          <w:lang w:val="en-US" w:eastAsia="en-US" w:bidi="ar-SA"/>
          <w14:ligatures w14:val="standardContextual"/>
        </w:rPr>
      </w:pPr>
      <w:hyperlink w:anchor="_Toc214456735" w:history="1">
        <w:r w:rsidRPr="004460C9">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_Toc214456735 \h </w:instrText>
        </w:r>
        <w:r>
          <w:rPr>
            <w:noProof/>
            <w:webHidden/>
          </w:rPr>
        </w:r>
        <w:r>
          <w:rPr>
            <w:noProof/>
            <w:webHidden/>
          </w:rPr>
          <w:fldChar w:fldCharType="separate"/>
        </w:r>
        <w:r>
          <w:rPr>
            <w:noProof/>
            <w:webHidden/>
          </w:rPr>
          <w:t>11</w:t>
        </w:r>
        <w:r>
          <w:rPr>
            <w:noProof/>
            <w:webHidden/>
          </w:rPr>
          <w:fldChar w:fldCharType="end"/>
        </w:r>
      </w:hyperlink>
    </w:p>
    <w:p w14:paraId="3D3A519A" w14:textId="2E286570" w:rsidR="001A7EE4" w:rsidRDefault="001A7EE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456736" w:history="1">
        <w:r w:rsidRPr="004460C9">
          <w:rPr>
            <w:rStyle w:val="Hyperlink"/>
            <w:noProof/>
          </w:rPr>
          <w:t>Serviços do Office 365</w:t>
        </w:r>
        <w:r>
          <w:rPr>
            <w:noProof/>
            <w:webHidden/>
          </w:rPr>
          <w:tab/>
        </w:r>
        <w:r>
          <w:rPr>
            <w:noProof/>
            <w:webHidden/>
          </w:rPr>
          <w:fldChar w:fldCharType="begin"/>
        </w:r>
        <w:r>
          <w:rPr>
            <w:noProof/>
            <w:webHidden/>
          </w:rPr>
          <w:instrText xml:space="preserve"> PAGEREF _Toc214456736 \h </w:instrText>
        </w:r>
        <w:r>
          <w:rPr>
            <w:noProof/>
            <w:webHidden/>
          </w:rPr>
        </w:r>
        <w:r>
          <w:rPr>
            <w:noProof/>
            <w:webHidden/>
          </w:rPr>
          <w:fldChar w:fldCharType="separate"/>
        </w:r>
        <w:r>
          <w:rPr>
            <w:noProof/>
            <w:webHidden/>
          </w:rPr>
          <w:t>12</w:t>
        </w:r>
        <w:r>
          <w:rPr>
            <w:noProof/>
            <w:webHidden/>
          </w:rPr>
          <w:fldChar w:fldCharType="end"/>
        </w:r>
      </w:hyperlink>
    </w:p>
    <w:p w14:paraId="01595C96" w14:textId="45A69A4F" w:rsidR="001A7EE4" w:rsidRDefault="001A7EE4">
      <w:pPr>
        <w:pStyle w:val="TOC4"/>
        <w:rPr>
          <w:rFonts w:eastAsiaTheme="minorEastAsia"/>
          <w:smallCaps w:val="0"/>
          <w:noProof/>
          <w:kern w:val="2"/>
          <w:sz w:val="24"/>
          <w:szCs w:val="24"/>
          <w:lang w:val="en-US" w:eastAsia="en-US" w:bidi="ar-SA"/>
          <w14:ligatures w14:val="standardContextual"/>
        </w:rPr>
      </w:pPr>
      <w:hyperlink w:anchor="_Toc214456737" w:history="1">
        <w:r w:rsidRPr="004460C9">
          <w:rPr>
            <w:rStyle w:val="Hyperlink"/>
            <w:noProof/>
          </w:rPr>
          <w:t>Duet Enterprise Online</w:t>
        </w:r>
        <w:r>
          <w:rPr>
            <w:noProof/>
            <w:webHidden/>
          </w:rPr>
          <w:tab/>
        </w:r>
        <w:r>
          <w:rPr>
            <w:noProof/>
            <w:webHidden/>
          </w:rPr>
          <w:fldChar w:fldCharType="begin"/>
        </w:r>
        <w:r>
          <w:rPr>
            <w:noProof/>
            <w:webHidden/>
          </w:rPr>
          <w:instrText xml:space="preserve"> PAGEREF _Toc214456737 \h </w:instrText>
        </w:r>
        <w:r>
          <w:rPr>
            <w:noProof/>
            <w:webHidden/>
          </w:rPr>
        </w:r>
        <w:r>
          <w:rPr>
            <w:noProof/>
            <w:webHidden/>
          </w:rPr>
          <w:fldChar w:fldCharType="separate"/>
        </w:r>
        <w:r>
          <w:rPr>
            <w:noProof/>
            <w:webHidden/>
          </w:rPr>
          <w:t>12</w:t>
        </w:r>
        <w:r>
          <w:rPr>
            <w:noProof/>
            <w:webHidden/>
          </w:rPr>
          <w:fldChar w:fldCharType="end"/>
        </w:r>
      </w:hyperlink>
    </w:p>
    <w:p w14:paraId="5C419F96" w14:textId="35695AE6" w:rsidR="001A7EE4" w:rsidRDefault="001A7EE4">
      <w:pPr>
        <w:pStyle w:val="TOC4"/>
        <w:rPr>
          <w:rFonts w:eastAsiaTheme="minorEastAsia"/>
          <w:smallCaps w:val="0"/>
          <w:noProof/>
          <w:kern w:val="2"/>
          <w:sz w:val="24"/>
          <w:szCs w:val="24"/>
          <w:lang w:val="en-US" w:eastAsia="en-US" w:bidi="ar-SA"/>
          <w14:ligatures w14:val="standardContextual"/>
        </w:rPr>
      </w:pPr>
      <w:hyperlink w:anchor="_Toc214456738" w:history="1">
        <w:r w:rsidRPr="004460C9">
          <w:rPr>
            <w:rStyle w:val="Hyperlink"/>
            <w:noProof/>
          </w:rPr>
          <w:t>Exchange Online</w:t>
        </w:r>
        <w:r>
          <w:rPr>
            <w:noProof/>
            <w:webHidden/>
          </w:rPr>
          <w:tab/>
        </w:r>
        <w:r>
          <w:rPr>
            <w:noProof/>
            <w:webHidden/>
          </w:rPr>
          <w:fldChar w:fldCharType="begin"/>
        </w:r>
        <w:r>
          <w:rPr>
            <w:noProof/>
            <w:webHidden/>
          </w:rPr>
          <w:instrText xml:space="preserve"> PAGEREF _Toc214456738 \h </w:instrText>
        </w:r>
        <w:r>
          <w:rPr>
            <w:noProof/>
            <w:webHidden/>
          </w:rPr>
        </w:r>
        <w:r>
          <w:rPr>
            <w:noProof/>
            <w:webHidden/>
          </w:rPr>
          <w:fldChar w:fldCharType="separate"/>
        </w:r>
        <w:r>
          <w:rPr>
            <w:noProof/>
            <w:webHidden/>
          </w:rPr>
          <w:t>12</w:t>
        </w:r>
        <w:r>
          <w:rPr>
            <w:noProof/>
            <w:webHidden/>
          </w:rPr>
          <w:fldChar w:fldCharType="end"/>
        </w:r>
      </w:hyperlink>
    </w:p>
    <w:p w14:paraId="5C942711" w14:textId="5A8B18C1" w:rsidR="001A7EE4" w:rsidRDefault="001A7EE4">
      <w:pPr>
        <w:pStyle w:val="TOC4"/>
        <w:rPr>
          <w:rFonts w:eastAsiaTheme="minorEastAsia"/>
          <w:smallCaps w:val="0"/>
          <w:noProof/>
          <w:kern w:val="2"/>
          <w:sz w:val="24"/>
          <w:szCs w:val="24"/>
          <w:lang w:val="en-US" w:eastAsia="en-US" w:bidi="ar-SA"/>
          <w14:ligatures w14:val="standardContextual"/>
        </w:rPr>
      </w:pPr>
      <w:hyperlink w:anchor="_Toc214456739" w:history="1">
        <w:r w:rsidRPr="004460C9">
          <w:rPr>
            <w:rStyle w:val="Hyperlink"/>
            <w:noProof/>
          </w:rPr>
          <w:t>Arquivo de Exchange Online</w:t>
        </w:r>
        <w:r>
          <w:rPr>
            <w:noProof/>
            <w:webHidden/>
          </w:rPr>
          <w:tab/>
        </w:r>
        <w:r>
          <w:rPr>
            <w:noProof/>
            <w:webHidden/>
          </w:rPr>
          <w:fldChar w:fldCharType="begin"/>
        </w:r>
        <w:r>
          <w:rPr>
            <w:noProof/>
            <w:webHidden/>
          </w:rPr>
          <w:instrText xml:space="preserve"> PAGEREF _Toc214456739 \h </w:instrText>
        </w:r>
        <w:r>
          <w:rPr>
            <w:noProof/>
            <w:webHidden/>
          </w:rPr>
        </w:r>
        <w:r>
          <w:rPr>
            <w:noProof/>
            <w:webHidden/>
          </w:rPr>
          <w:fldChar w:fldCharType="separate"/>
        </w:r>
        <w:r>
          <w:rPr>
            <w:noProof/>
            <w:webHidden/>
          </w:rPr>
          <w:t>14</w:t>
        </w:r>
        <w:r>
          <w:rPr>
            <w:noProof/>
            <w:webHidden/>
          </w:rPr>
          <w:fldChar w:fldCharType="end"/>
        </w:r>
      </w:hyperlink>
    </w:p>
    <w:p w14:paraId="3AAB99DB" w14:textId="60863D66" w:rsidR="001A7EE4" w:rsidRDefault="001A7EE4">
      <w:pPr>
        <w:pStyle w:val="TOC4"/>
        <w:rPr>
          <w:rFonts w:eastAsiaTheme="minorEastAsia"/>
          <w:smallCaps w:val="0"/>
          <w:noProof/>
          <w:kern w:val="2"/>
          <w:sz w:val="24"/>
          <w:szCs w:val="24"/>
          <w:lang w:val="en-US" w:eastAsia="en-US" w:bidi="ar-SA"/>
          <w14:ligatures w14:val="standardContextual"/>
        </w:rPr>
      </w:pPr>
      <w:hyperlink w:anchor="_Toc214456740" w:history="1">
        <w:r w:rsidRPr="004460C9">
          <w:rPr>
            <w:rStyle w:val="Hyperlink"/>
            <w:noProof/>
          </w:rPr>
          <w:t>Proteção do Exchange Online</w:t>
        </w:r>
        <w:r>
          <w:rPr>
            <w:noProof/>
            <w:webHidden/>
          </w:rPr>
          <w:tab/>
        </w:r>
        <w:r>
          <w:rPr>
            <w:noProof/>
            <w:webHidden/>
          </w:rPr>
          <w:fldChar w:fldCharType="begin"/>
        </w:r>
        <w:r>
          <w:rPr>
            <w:noProof/>
            <w:webHidden/>
          </w:rPr>
          <w:instrText xml:space="preserve"> PAGEREF _Toc214456740 \h </w:instrText>
        </w:r>
        <w:r>
          <w:rPr>
            <w:noProof/>
            <w:webHidden/>
          </w:rPr>
        </w:r>
        <w:r>
          <w:rPr>
            <w:noProof/>
            <w:webHidden/>
          </w:rPr>
          <w:fldChar w:fldCharType="separate"/>
        </w:r>
        <w:r>
          <w:rPr>
            <w:noProof/>
            <w:webHidden/>
          </w:rPr>
          <w:t>15</w:t>
        </w:r>
        <w:r>
          <w:rPr>
            <w:noProof/>
            <w:webHidden/>
          </w:rPr>
          <w:fldChar w:fldCharType="end"/>
        </w:r>
      </w:hyperlink>
    </w:p>
    <w:p w14:paraId="643A48DD" w14:textId="0DCA895A" w:rsidR="001A7EE4" w:rsidRDefault="001A7EE4">
      <w:pPr>
        <w:pStyle w:val="TOC4"/>
        <w:rPr>
          <w:rFonts w:eastAsiaTheme="minorEastAsia"/>
          <w:smallCaps w:val="0"/>
          <w:noProof/>
          <w:kern w:val="2"/>
          <w:sz w:val="24"/>
          <w:szCs w:val="24"/>
          <w:lang w:val="en-US" w:eastAsia="en-US" w:bidi="ar-SA"/>
          <w14:ligatures w14:val="standardContextual"/>
        </w:rPr>
      </w:pPr>
      <w:hyperlink w:anchor="_Toc214456741" w:history="1">
        <w:r w:rsidRPr="004460C9">
          <w:rPr>
            <w:rStyle w:val="Hyperlink"/>
            <w:noProof/>
          </w:rPr>
          <w:t>Microsoft MyAnalytics</w:t>
        </w:r>
        <w:r>
          <w:rPr>
            <w:noProof/>
            <w:webHidden/>
          </w:rPr>
          <w:tab/>
        </w:r>
        <w:r>
          <w:rPr>
            <w:noProof/>
            <w:webHidden/>
          </w:rPr>
          <w:fldChar w:fldCharType="begin"/>
        </w:r>
        <w:r>
          <w:rPr>
            <w:noProof/>
            <w:webHidden/>
          </w:rPr>
          <w:instrText xml:space="preserve"> PAGEREF _Toc214456741 \h </w:instrText>
        </w:r>
        <w:r>
          <w:rPr>
            <w:noProof/>
            <w:webHidden/>
          </w:rPr>
        </w:r>
        <w:r>
          <w:rPr>
            <w:noProof/>
            <w:webHidden/>
          </w:rPr>
          <w:fldChar w:fldCharType="separate"/>
        </w:r>
        <w:r>
          <w:rPr>
            <w:noProof/>
            <w:webHidden/>
          </w:rPr>
          <w:t>16</w:t>
        </w:r>
        <w:r>
          <w:rPr>
            <w:noProof/>
            <w:webHidden/>
          </w:rPr>
          <w:fldChar w:fldCharType="end"/>
        </w:r>
      </w:hyperlink>
    </w:p>
    <w:p w14:paraId="2B0A2C1D" w14:textId="692387AE" w:rsidR="001A7EE4" w:rsidRDefault="001A7EE4">
      <w:pPr>
        <w:pStyle w:val="TOC4"/>
        <w:rPr>
          <w:rFonts w:eastAsiaTheme="minorEastAsia"/>
          <w:smallCaps w:val="0"/>
          <w:noProof/>
          <w:kern w:val="2"/>
          <w:sz w:val="24"/>
          <w:szCs w:val="24"/>
          <w:lang w:val="en-US" w:eastAsia="en-US" w:bidi="ar-SA"/>
          <w14:ligatures w14:val="standardContextual"/>
        </w:rPr>
      </w:pPr>
      <w:hyperlink w:anchor="_Toc214456742" w:history="1">
        <w:r w:rsidRPr="004460C9">
          <w:rPr>
            <w:rStyle w:val="Hyperlink"/>
            <w:noProof/>
          </w:rPr>
          <w:t>Microsoft Stream (Clássico)</w:t>
        </w:r>
        <w:r>
          <w:rPr>
            <w:noProof/>
            <w:webHidden/>
          </w:rPr>
          <w:tab/>
        </w:r>
        <w:r>
          <w:rPr>
            <w:noProof/>
            <w:webHidden/>
          </w:rPr>
          <w:fldChar w:fldCharType="begin"/>
        </w:r>
        <w:r>
          <w:rPr>
            <w:noProof/>
            <w:webHidden/>
          </w:rPr>
          <w:instrText xml:space="preserve"> PAGEREF _Toc214456742 \h </w:instrText>
        </w:r>
        <w:r>
          <w:rPr>
            <w:noProof/>
            <w:webHidden/>
          </w:rPr>
        </w:r>
        <w:r>
          <w:rPr>
            <w:noProof/>
            <w:webHidden/>
          </w:rPr>
          <w:fldChar w:fldCharType="separate"/>
        </w:r>
        <w:r>
          <w:rPr>
            <w:noProof/>
            <w:webHidden/>
          </w:rPr>
          <w:t>16</w:t>
        </w:r>
        <w:r>
          <w:rPr>
            <w:noProof/>
            <w:webHidden/>
          </w:rPr>
          <w:fldChar w:fldCharType="end"/>
        </w:r>
      </w:hyperlink>
    </w:p>
    <w:p w14:paraId="404B289B" w14:textId="42EA9A20" w:rsidR="001A7EE4" w:rsidRDefault="001A7EE4">
      <w:pPr>
        <w:pStyle w:val="TOC4"/>
        <w:rPr>
          <w:rFonts w:eastAsiaTheme="minorEastAsia"/>
          <w:smallCaps w:val="0"/>
          <w:noProof/>
          <w:kern w:val="2"/>
          <w:sz w:val="24"/>
          <w:szCs w:val="24"/>
          <w:lang w:val="en-US" w:eastAsia="en-US" w:bidi="ar-SA"/>
          <w14:ligatures w14:val="standardContextual"/>
        </w:rPr>
      </w:pPr>
      <w:hyperlink w:anchor="_Toc214456743" w:history="1">
        <w:r w:rsidRPr="004460C9">
          <w:rPr>
            <w:rStyle w:val="Hyperlink"/>
            <w:noProof/>
          </w:rPr>
          <w:t>Microsoft Teams</w:t>
        </w:r>
        <w:r>
          <w:rPr>
            <w:noProof/>
            <w:webHidden/>
          </w:rPr>
          <w:tab/>
        </w:r>
        <w:r>
          <w:rPr>
            <w:noProof/>
            <w:webHidden/>
          </w:rPr>
          <w:fldChar w:fldCharType="begin"/>
        </w:r>
        <w:r>
          <w:rPr>
            <w:noProof/>
            <w:webHidden/>
          </w:rPr>
          <w:instrText xml:space="preserve"> PAGEREF _Toc214456743 \h </w:instrText>
        </w:r>
        <w:r>
          <w:rPr>
            <w:noProof/>
            <w:webHidden/>
          </w:rPr>
        </w:r>
        <w:r>
          <w:rPr>
            <w:noProof/>
            <w:webHidden/>
          </w:rPr>
          <w:fldChar w:fldCharType="separate"/>
        </w:r>
        <w:r>
          <w:rPr>
            <w:noProof/>
            <w:webHidden/>
          </w:rPr>
          <w:t>16</w:t>
        </w:r>
        <w:r>
          <w:rPr>
            <w:noProof/>
            <w:webHidden/>
          </w:rPr>
          <w:fldChar w:fldCharType="end"/>
        </w:r>
      </w:hyperlink>
    </w:p>
    <w:p w14:paraId="1E619482" w14:textId="302A4197" w:rsidR="001A7EE4" w:rsidRDefault="001A7EE4">
      <w:pPr>
        <w:pStyle w:val="TOC4"/>
        <w:rPr>
          <w:rFonts w:eastAsiaTheme="minorEastAsia"/>
          <w:smallCaps w:val="0"/>
          <w:noProof/>
          <w:kern w:val="2"/>
          <w:sz w:val="24"/>
          <w:szCs w:val="24"/>
          <w:lang w:val="en-US" w:eastAsia="en-US" w:bidi="ar-SA"/>
          <w14:ligatures w14:val="standardContextual"/>
        </w:rPr>
      </w:pPr>
      <w:hyperlink w:anchor="_Toc214456744" w:history="1">
        <w:r w:rsidRPr="004460C9">
          <w:rPr>
            <w:rStyle w:val="Hyperlink"/>
            <w:noProof/>
          </w:rPr>
          <w:t>Microsoft 365 Apps para Pequenas e Médias Empresas</w:t>
        </w:r>
        <w:r>
          <w:rPr>
            <w:noProof/>
            <w:webHidden/>
          </w:rPr>
          <w:tab/>
        </w:r>
        <w:r>
          <w:rPr>
            <w:noProof/>
            <w:webHidden/>
          </w:rPr>
          <w:fldChar w:fldCharType="begin"/>
        </w:r>
        <w:r>
          <w:rPr>
            <w:noProof/>
            <w:webHidden/>
          </w:rPr>
          <w:instrText xml:space="preserve"> PAGEREF _Toc214456744 \h </w:instrText>
        </w:r>
        <w:r>
          <w:rPr>
            <w:noProof/>
            <w:webHidden/>
          </w:rPr>
        </w:r>
        <w:r>
          <w:rPr>
            <w:noProof/>
            <w:webHidden/>
          </w:rPr>
          <w:fldChar w:fldCharType="separate"/>
        </w:r>
        <w:r>
          <w:rPr>
            <w:noProof/>
            <w:webHidden/>
          </w:rPr>
          <w:t>17</w:t>
        </w:r>
        <w:r>
          <w:rPr>
            <w:noProof/>
            <w:webHidden/>
          </w:rPr>
          <w:fldChar w:fldCharType="end"/>
        </w:r>
      </w:hyperlink>
    </w:p>
    <w:p w14:paraId="208AFCAC" w14:textId="3954673F" w:rsidR="001A7EE4" w:rsidRDefault="001A7EE4">
      <w:pPr>
        <w:pStyle w:val="TOC4"/>
        <w:rPr>
          <w:rFonts w:eastAsiaTheme="minorEastAsia"/>
          <w:smallCaps w:val="0"/>
          <w:noProof/>
          <w:kern w:val="2"/>
          <w:sz w:val="24"/>
          <w:szCs w:val="24"/>
          <w:lang w:val="en-US" w:eastAsia="en-US" w:bidi="ar-SA"/>
          <w14:ligatures w14:val="standardContextual"/>
        </w:rPr>
      </w:pPr>
      <w:hyperlink w:anchor="_Toc214456745" w:history="1">
        <w:r w:rsidRPr="004460C9">
          <w:rPr>
            <w:rStyle w:val="Hyperlink"/>
            <w:noProof/>
          </w:rPr>
          <w:t>Microsoft 365 Apps para Grandes Empresas</w:t>
        </w:r>
        <w:r>
          <w:rPr>
            <w:noProof/>
            <w:webHidden/>
          </w:rPr>
          <w:tab/>
        </w:r>
        <w:r>
          <w:rPr>
            <w:noProof/>
            <w:webHidden/>
          </w:rPr>
          <w:fldChar w:fldCharType="begin"/>
        </w:r>
        <w:r>
          <w:rPr>
            <w:noProof/>
            <w:webHidden/>
          </w:rPr>
          <w:instrText xml:space="preserve"> PAGEREF _Toc214456745 \h </w:instrText>
        </w:r>
        <w:r>
          <w:rPr>
            <w:noProof/>
            <w:webHidden/>
          </w:rPr>
        </w:r>
        <w:r>
          <w:rPr>
            <w:noProof/>
            <w:webHidden/>
          </w:rPr>
          <w:fldChar w:fldCharType="separate"/>
        </w:r>
        <w:r>
          <w:rPr>
            <w:noProof/>
            <w:webHidden/>
          </w:rPr>
          <w:t>17</w:t>
        </w:r>
        <w:r>
          <w:rPr>
            <w:noProof/>
            <w:webHidden/>
          </w:rPr>
          <w:fldChar w:fldCharType="end"/>
        </w:r>
      </w:hyperlink>
    </w:p>
    <w:p w14:paraId="0F0C03DE" w14:textId="6E428A18" w:rsidR="001A7EE4" w:rsidRDefault="001A7EE4">
      <w:pPr>
        <w:pStyle w:val="TOC4"/>
        <w:rPr>
          <w:rFonts w:eastAsiaTheme="minorEastAsia"/>
          <w:smallCaps w:val="0"/>
          <w:noProof/>
          <w:kern w:val="2"/>
          <w:sz w:val="24"/>
          <w:szCs w:val="24"/>
          <w:lang w:val="en-US" w:eastAsia="en-US" w:bidi="ar-SA"/>
          <w14:ligatures w14:val="standardContextual"/>
        </w:rPr>
      </w:pPr>
      <w:hyperlink w:anchor="_Toc214456746" w:history="1">
        <w:r w:rsidRPr="004460C9">
          <w:rPr>
            <w:rStyle w:val="Hyperlink"/>
            <w:noProof/>
          </w:rPr>
          <w:t>Office 365 Advanced Compliance</w:t>
        </w:r>
        <w:r>
          <w:rPr>
            <w:noProof/>
            <w:webHidden/>
          </w:rPr>
          <w:tab/>
        </w:r>
        <w:r>
          <w:rPr>
            <w:noProof/>
            <w:webHidden/>
          </w:rPr>
          <w:fldChar w:fldCharType="begin"/>
        </w:r>
        <w:r>
          <w:rPr>
            <w:noProof/>
            <w:webHidden/>
          </w:rPr>
          <w:instrText xml:space="preserve"> PAGEREF _Toc214456746 \h </w:instrText>
        </w:r>
        <w:r>
          <w:rPr>
            <w:noProof/>
            <w:webHidden/>
          </w:rPr>
        </w:r>
        <w:r>
          <w:rPr>
            <w:noProof/>
            <w:webHidden/>
          </w:rPr>
          <w:fldChar w:fldCharType="separate"/>
        </w:r>
        <w:r>
          <w:rPr>
            <w:noProof/>
            <w:webHidden/>
          </w:rPr>
          <w:t>17</w:t>
        </w:r>
        <w:r>
          <w:rPr>
            <w:noProof/>
            <w:webHidden/>
          </w:rPr>
          <w:fldChar w:fldCharType="end"/>
        </w:r>
      </w:hyperlink>
    </w:p>
    <w:p w14:paraId="5AFD03A9" w14:textId="0A6FB4F5" w:rsidR="001A7EE4" w:rsidRDefault="001A7EE4">
      <w:pPr>
        <w:pStyle w:val="TOC4"/>
        <w:rPr>
          <w:rFonts w:eastAsiaTheme="minorEastAsia"/>
          <w:smallCaps w:val="0"/>
          <w:noProof/>
          <w:kern w:val="2"/>
          <w:sz w:val="24"/>
          <w:szCs w:val="24"/>
          <w:lang w:val="en-US" w:eastAsia="en-US" w:bidi="ar-SA"/>
          <w14:ligatures w14:val="standardContextual"/>
        </w:rPr>
      </w:pPr>
      <w:hyperlink w:anchor="_Toc214456747" w:history="1">
        <w:r w:rsidRPr="004460C9">
          <w:rPr>
            <w:rStyle w:val="Hyperlink"/>
            <w:noProof/>
          </w:rPr>
          <w:t>Office Online</w:t>
        </w:r>
        <w:r>
          <w:rPr>
            <w:noProof/>
            <w:webHidden/>
          </w:rPr>
          <w:tab/>
        </w:r>
        <w:r>
          <w:rPr>
            <w:noProof/>
            <w:webHidden/>
          </w:rPr>
          <w:fldChar w:fldCharType="begin"/>
        </w:r>
        <w:r>
          <w:rPr>
            <w:noProof/>
            <w:webHidden/>
          </w:rPr>
          <w:instrText xml:space="preserve"> PAGEREF _Toc214456747 \h </w:instrText>
        </w:r>
        <w:r>
          <w:rPr>
            <w:noProof/>
            <w:webHidden/>
          </w:rPr>
        </w:r>
        <w:r>
          <w:rPr>
            <w:noProof/>
            <w:webHidden/>
          </w:rPr>
          <w:fldChar w:fldCharType="separate"/>
        </w:r>
        <w:r>
          <w:rPr>
            <w:noProof/>
            <w:webHidden/>
          </w:rPr>
          <w:t>18</w:t>
        </w:r>
        <w:r>
          <w:rPr>
            <w:noProof/>
            <w:webHidden/>
          </w:rPr>
          <w:fldChar w:fldCharType="end"/>
        </w:r>
      </w:hyperlink>
    </w:p>
    <w:p w14:paraId="37824416" w14:textId="46F6FB66" w:rsidR="001A7EE4" w:rsidRDefault="001A7EE4">
      <w:pPr>
        <w:pStyle w:val="TOC4"/>
        <w:rPr>
          <w:rFonts w:eastAsiaTheme="minorEastAsia"/>
          <w:smallCaps w:val="0"/>
          <w:noProof/>
          <w:kern w:val="2"/>
          <w:sz w:val="24"/>
          <w:szCs w:val="24"/>
          <w:lang w:val="en-US" w:eastAsia="en-US" w:bidi="ar-SA"/>
          <w14:ligatures w14:val="standardContextual"/>
        </w:rPr>
      </w:pPr>
      <w:hyperlink w:anchor="_Toc214456748" w:history="1">
        <w:r w:rsidRPr="004460C9">
          <w:rPr>
            <w:rStyle w:val="Hyperlink"/>
            <w:noProof/>
          </w:rPr>
          <w:t>Vídeo do Office 365</w:t>
        </w:r>
        <w:r>
          <w:rPr>
            <w:noProof/>
            <w:webHidden/>
          </w:rPr>
          <w:tab/>
        </w:r>
        <w:r>
          <w:rPr>
            <w:noProof/>
            <w:webHidden/>
          </w:rPr>
          <w:fldChar w:fldCharType="begin"/>
        </w:r>
        <w:r>
          <w:rPr>
            <w:noProof/>
            <w:webHidden/>
          </w:rPr>
          <w:instrText xml:space="preserve"> PAGEREF _Toc214456748 \h </w:instrText>
        </w:r>
        <w:r>
          <w:rPr>
            <w:noProof/>
            <w:webHidden/>
          </w:rPr>
        </w:r>
        <w:r>
          <w:rPr>
            <w:noProof/>
            <w:webHidden/>
          </w:rPr>
          <w:fldChar w:fldCharType="separate"/>
        </w:r>
        <w:r>
          <w:rPr>
            <w:noProof/>
            <w:webHidden/>
          </w:rPr>
          <w:t>18</w:t>
        </w:r>
        <w:r>
          <w:rPr>
            <w:noProof/>
            <w:webHidden/>
          </w:rPr>
          <w:fldChar w:fldCharType="end"/>
        </w:r>
      </w:hyperlink>
    </w:p>
    <w:p w14:paraId="1B7AC3BB" w14:textId="76B603F6" w:rsidR="001A7EE4" w:rsidRDefault="001A7EE4">
      <w:pPr>
        <w:pStyle w:val="TOC4"/>
        <w:rPr>
          <w:rFonts w:eastAsiaTheme="minorEastAsia"/>
          <w:smallCaps w:val="0"/>
          <w:noProof/>
          <w:kern w:val="2"/>
          <w:sz w:val="24"/>
          <w:szCs w:val="24"/>
          <w:lang w:val="en-US" w:eastAsia="en-US" w:bidi="ar-SA"/>
          <w14:ligatures w14:val="standardContextual"/>
        </w:rPr>
      </w:pPr>
      <w:hyperlink w:anchor="_Toc214456749" w:history="1">
        <w:r w:rsidRPr="004460C9">
          <w:rPr>
            <w:rStyle w:val="Hyperlink"/>
            <w:noProof/>
          </w:rPr>
          <w:t>OneDrive trabalho ou escola</w:t>
        </w:r>
        <w:r>
          <w:rPr>
            <w:noProof/>
            <w:webHidden/>
          </w:rPr>
          <w:tab/>
        </w:r>
        <w:r>
          <w:rPr>
            <w:noProof/>
            <w:webHidden/>
          </w:rPr>
          <w:fldChar w:fldCharType="begin"/>
        </w:r>
        <w:r>
          <w:rPr>
            <w:noProof/>
            <w:webHidden/>
          </w:rPr>
          <w:instrText xml:space="preserve"> PAGEREF _Toc214456749 \h </w:instrText>
        </w:r>
        <w:r>
          <w:rPr>
            <w:noProof/>
            <w:webHidden/>
          </w:rPr>
        </w:r>
        <w:r>
          <w:rPr>
            <w:noProof/>
            <w:webHidden/>
          </w:rPr>
          <w:fldChar w:fldCharType="separate"/>
        </w:r>
        <w:r>
          <w:rPr>
            <w:noProof/>
            <w:webHidden/>
          </w:rPr>
          <w:t>19</w:t>
        </w:r>
        <w:r>
          <w:rPr>
            <w:noProof/>
            <w:webHidden/>
          </w:rPr>
          <w:fldChar w:fldCharType="end"/>
        </w:r>
      </w:hyperlink>
    </w:p>
    <w:p w14:paraId="4FB39834" w14:textId="35C88FCE" w:rsidR="001A7EE4" w:rsidRDefault="001A7EE4">
      <w:pPr>
        <w:pStyle w:val="TOC4"/>
        <w:rPr>
          <w:rFonts w:eastAsiaTheme="minorEastAsia"/>
          <w:smallCaps w:val="0"/>
          <w:noProof/>
          <w:kern w:val="2"/>
          <w:sz w:val="24"/>
          <w:szCs w:val="24"/>
          <w:lang w:val="en-US" w:eastAsia="en-US" w:bidi="ar-SA"/>
          <w14:ligatures w14:val="standardContextual"/>
        </w:rPr>
      </w:pPr>
      <w:hyperlink w:anchor="_Toc214456750" w:history="1">
        <w:r w:rsidRPr="004460C9">
          <w:rPr>
            <w:rStyle w:val="Hyperlink"/>
            <w:noProof/>
          </w:rPr>
          <w:t>Project</w:t>
        </w:r>
        <w:r>
          <w:rPr>
            <w:noProof/>
            <w:webHidden/>
          </w:rPr>
          <w:tab/>
        </w:r>
        <w:r>
          <w:rPr>
            <w:noProof/>
            <w:webHidden/>
          </w:rPr>
          <w:fldChar w:fldCharType="begin"/>
        </w:r>
        <w:r>
          <w:rPr>
            <w:noProof/>
            <w:webHidden/>
          </w:rPr>
          <w:instrText xml:space="preserve"> PAGEREF _Toc214456750 \h </w:instrText>
        </w:r>
        <w:r>
          <w:rPr>
            <w:noProof/>
            <w:webHidden/>
          </w:rPr>
        </w:r>
        <w:r>
          <w:rPr>
            <w:noProof/>
            <w:webHidden/>
          </w:rPr>
          <w:fldChar w:fldCharType="separate"/>
        </w:r>
        <w:r>
          <w:rPr>
            <w:noProof/>
            <w:webHidden/>
          </w:rPr>
          <w:t>19</w:t>
        </w:r>
        <w:r>
          <w:rPr>
            <w:noProof/>
            <w:webHidden/>
          </w:rPr>
          <w:fldChar w:fldCharType="end"/>
        </w:r>
      </w:hyperlink>
    </w:p>
    <w:p w14:paraId="37E2D05E" w14:textId="70C3674A" w:rsidR="001A7EE4" w:rsidRDefault="001A7EE4">
      <w:pPr>
        <w:pStyle w:val="TOC4"/>
        <w:rPr>
          <w:rFonts w:eastAsiaTheme="minorEastAsia"/>
          <w:smallCaps w:val="0"/>
          <w:noProof/>
          <w:kern w:val="2"/>
          <w:sz w:val="24"/>
          <w:szCs w:val="24"/>
          <w:lang w:val="en-US" w:eastAsia="en-US" w:bidi="ar-SA"/>
          <w14:ligatures w14:val="standardContextual"/>
        </w:rPr>
      </w:pPr>
      <w:hyperlink w:anchor="_Toc214456751" w:history="1">
        <w:r w:rsidRPr="004460C9">
          <w:rPr>
            <w:rStyle w:val="Hyperlink"/>
            <w:noProof/>
          </w:rPr>
          <w:t>SharePoint Online</w:t>
        </w:r>
        <w:r>
          <w:rPr>
            <w:noProof/>
            <w:webHidden/>
          </w:rPr>
          <w:tab/>
        </w:r>
        <w:r>
          <w:rPr>
            <w:noProof/>
            <w:webHidden/>
          </w:rPr>
          <w:fldChar w:fldCharType="begin"/>
        </w:r>
        <w:r>
          <w:rPr>
            <w:noProof/>
            <w:webHidden/>
          </w:rPr>
          <w:instrText xml:space="preserve"> PAGEREF _Toc214456751 \h </w:instrText>
        </w:r>
        <w:r>
          <w:rPr>
            <w:noProof/>
            <w:webHidden/>
          </w:rPr>
        </w:r>
        <w:r>
          <w:rPr>
            <w:noProof/>
            <w:webHidden/>
          </w:rPr>
          <w:fldChar w:fldCharType="separate"/>
        </w:r>
        <w:r>
          <w:rPr>
            <w:noProof/>
            <w:webHidden/>
          </w:rPr>
          <w:t>19</w:t>
        </w:r>
        <w:r>
          <w:rPr>
            <w:noProof/>
            <w:webHidden/>
          </w:rPr>
          <w:fldChar w:fldCharType="end"/>
        </w:r>
      </w:hyperlink>
    </w:p>
    <w:p w14:paraId="136078F2" w14:textId="29E28CA3" w:rsidR="001A7EE4" w:rsidRDefault="001A7EE4">
      <w:pPr>
        <w:pStyle w:val="TOC4"/>
        <w:rPr>
          <w:rFonts w:eastAsiaTheme="minorEastAsia"/>
          <w:smallCaps w:val="0"/>
          <w:noProof/>
          <w:kern w:val="2"/>
          <w:sz w:val="24"/>
          <w:szCs w:val="24"/>
          <w:lang w:val="en-US" w:eastAsia="en-US" w:bidi="ar-SA"/>
          <w14:ligatures w14:val="standardContextual"/>
        </w:rPr>
      </w:pPr>
      <w:hyperlink w:anchor="_Toc214456752" w:history="1">
        <w:r w:rsidRPr="004460C9">
          <w:rPr>
            <w:rStyle w:val="Hyperlink"/>
            <w:noProof/>
          </w:rPr>
          <w:t>Microsoft Teams – Planos de Chamadas, Telefóne do Teams e Conferências de Áudio</w:t>
        </w:r>
        <w:r>
          <w:rPr>
            <w:noProof/>
            <w:webHidden/>
          </w:rPr>
          <w:tab/>
        </w:r>
        <w:r>
          <w:rPr>
            <w:noProof/>
            <w:webHidden/>
          </w:rPr>
          <w:fldChar w:fldCharType="begin"/>
        </w:r>
        <w:r>
          <w:rPr>
            <w:noProof/>
            <w:webHidden/>
          </w:rPr>
          <w:instrText xml:space="preserve"> PAGEREF _Toc214456752 \h </w:instrText>
        </w:r>
        <w:r>
          <w:rPr>
            <w:noProof/>
            <w:webHidden/>
          </w:rPr>
        </w:r>
        <w:r>
          <w:rPr>
            <w:noProof/>
            <w:webHidden/>
          </w:rPr>
          <w:fldChar w:fldCharType="separate"/>
        </w:r>
        <w:r>
          <w:rPr>
            <w:noProof/>
            <w:webHidden/>
          </w:rPr>
          <w:t>20</w:t>
        </w:r>
        <w:r>
          <w:rPr>
            <w:noProof/>
            <w:webHidden/>
          </w:rPr>
          <w:fldChar w:fldCharType="end"/>
        </w:r>
      </w:hyperlink>
    </w:p>
    <w:p w14:paraId="770CAABC" w14:textId="1657592B" w:rsidR="001A7EE4" w:rsidRDefault="001A7EE4">
      <w:pPr>
        <w:pStyle w:val="TOC4"/>
        <w:rPr>
          <w:rFonts w:eastAsiaTheme="minorEastAsia"/>
          <w:smallCaps w:val="0"/>
          <w:noProof/>
          <w:kern w:val="2"/>
          <w:sz w:val="24"/>
          <w:szCs w:val="24"/>
          <w:lang w:val="en-US" w:eastAsia="en-US" w:bidi="ar-SA"/>
          <w14:ligatures w14:val="standardContextual"/>
        </w:rPr>
      </w:pPr>
      <w:hyperlink w:anchor="_Toc214456753" w:history="1">
        <w:r w:rsidRPr="004460C9">
          <w:rPr>
            <w:rStyle w:val="Hyperlink"/>
            <w:noProof/>
          </w:rPr>
          <w:t>Microsoft Teams – Qualidade da Voz</w:t>
        </w:r>
        <w:r>
          <w:rPr>
            <w:noProof/>
            <w:webHidden/>
          </w:rPr>
          <w:tab/>
        </w:r>
        <w:r>
          <w:rPr>
            <w:noProof/>
            <w:webHidden/>
          </w:rPr>
          <w:fldChar w:fldCharType="begin"/>
        </w:r>
        <w:r>
          <w:rPr>
            <w:noProof/>
            <w:webHidden/>
          </w:rPr>
          <w:instrText xml:space="preserve"> PAGEREF _Toc214456753 \h </w:instrText>
        </w:r>
        <w:r>
          <w:rPr>
            <w:noProof/>
            <w:webHidden/>
          </w:rPr>
        </w:r>
        <w:r>
          <w:rPr>
            <w:noProof/>
            <w:webHidden/>
          </w:rPr>
          <w:fldChar w:fldCharType="separate"/>
        </w:r>
        <w:r>
          <w:rPr>
            <w:noProof/>
            <w:webHidden/>
          </w:rPr>
          <w:t>20</w:t>
        </w:r>
        <w:r>
          <w:rPr>
            <w:noProof/>
            <w:webHidden/>
          </w:rPr>
          <w:fldChar w:fldCharType="end"/>
        </w:r>
      </w:hyperlink>
    </w:p>
    <w:p w14:paraId="3BFEF1CC" w14:textId="394B060B" w:rsidR="001A7EE4" w:rsidRDefault="001A7EE4">
      <w:pPr>
        <w:pStyle w:val="TOC4"/>
        <w:rPr>
          <w:rFonts w:eastAsiaTheme="minorEastAsia"/>
          <w:smallCaps w:val="0"/>
          <w:noProof/>
          <w:kern w:val="2"/>
          <w:sz w:val="24"/>
          <w:szCs w:val="24"/>
          <w:lang w:val="en-US" w:eastAsia="en-US" w:bidi="ar-SA"/>
          <w14:ligatures w14:val="standardContextual"/>
        </w:rPr>
      </w:pPr>
      <w:hyperlink w:anchor="_Toc214456754" w:history="1">
        <w:r w:rsidRPr="004460C9">
          <w:rPr>
            <w:rStyle w:val="Hyperlink"/>
            <w:noProof/>
          </w:rPr>
          <w:t>Informações sobre Tendências Empresariais</w:t>
        </w:r>
        <w:r>
          <w:rPr>
            <w:noProof/>
            <w:webHidden/>
          </w:rPr>
          <w:tab/>
        </w:r>
        <w:r>
          <w:rPr>
            <w:noProof/>
            <w:webHidden/>
          </w:rPr>
          <w:fldChar w:fldCharType="begin"/>
        </w:r>
        <w:r>
          <w:rPr>
            <w:noProof/>
            <w:webHidden/>
          </w:rPr>
          <w:instrText xml:space="preserve"> PAGEREF _Toc214456754 \h </w:instrText>
        </w:r>
        <w:r>
          <w:rPr>
            <w:noProof/>
            <w:webHidden/>
          </w:rPr>
        </w:r>
        <w:r>
          <w:rPr>
            <w:noProof/>
            <w:webHidden/>
          </w:rPr>
          <w:fldChar w:fldCharType="separate"/>
        </w:r>
        <w:r>
          <w:rPr>
            <w:noProof/>
            <w:webHidden/>
          </w:rPr>
          <w:t>20</w:t>
        </w:r>
        <w:r>
          <w:rPr>
            <w:noProof/>
            <w:webHidden/>
          </w:rPr>
          <w:fldChar w:fldCharType="end"/>
        </w:r>
      </w:hyperlink>
    </w:p>
    <w:p w14:paraId="3E8EF08F" w14:textId="706FB31A" w:rsidR="001A7EE4" w:rsidRDefault="001A7EE4">
      <w:pPr>
        <w:pStyle w:val="TOC4"/>
        <w:rPr>
          <w:rFonts w:eastAsiaTheme="minorEastAsia"/>
          <w:smallCaps w:val="0"/>
          <w:noProof/>
          <w:kern w:val="2"/>
          <w:sz w:val="24"/>
          <w:szCs w:val="24"/>
          <w:lang w:val="en-US" w:eastAsia="en-US" w:bidi="ar-SA"/>
          <w14:ligatures w14:val="standardContextual"/>
        </w:rPr>
      </w:pPr>
      <w:hyperlink w:anchor="_Toc214456755" w:history="1">
        <w:r w:rsidRPr="004460C9">
          <w:rPr>
            <w:rStyle w:val="Hyperlink"/>
            <w:noProof/>
          </w:rPr>
          <w:t>Viva Engage</w:t>
        </w:r>
        <w:r>
          <w:rPr>
            <w:noProof/>
            <w:webHidden/>
          </w:rPr>
          <w:tab/>
        </w:r>
        <w:r>
          <w:rPr>
            <w:noProof/>
            <w:webHidden/>
          </w:rPr>
          <w:fldChar w:fldCharType="begin"/>
        </w:r>
        <w:r>
          <w:rPr>
            <w:noProof/>
            <w:webHidden/>
          </w:rPr>
          <w:instrText xml:space="preserve"> PAGEREF _Toc214456755 \h </w:instrText>
        </w:r>
        <w:r>
          <w:rPr>
            <w:noProof/>
            <w:webHidden/>
          </w:rPr>
        </w:r>
        <w:r>
          <w:rPr>
            <w:noProof/>
            <w:webHidden/>
          </w:rPr>
          <w:fldChar w:fldCharType="separate"/>
        </w:r>
        <w:r>
          <w:rPr>
            <w:noProof/>
            <w:webHidden/>
          </w:rPr>
          <w:t>21</w:t>
        </w:r>
        <w:r>
          <w:rPr>
            <w:noProof/>
            <w:webHidden/>
          </w:rPr>
          <w:fldChar w:fldCharType="end"/>
        </w:r>
      </w:hyperlink>
    </w:p>
    <w:p w14:paraId="0CAF6270" w14:textId="39D75F74" w:rsidR="001A7EE4" w:rsidRDefault="001A7EE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456756" w:history="1">
        <w:r w:rsidRPr="004460C9">
          <w:rPr>
            <w:rStyle w:val="Hyperlink"/>
            <w:noProof/>
          </w:rPr>
          <w:t>Serviços e Planos do Microsoft Azure</w:t>
        </w:r>
        <w:r>
          <w:rPr>
            <w:noProof/>
            <w:webHidden/>
          </w:rPr>
          <w:tab/>
        </w:r>
        <w:r>
          <w:rPr>
            <w:noProof/>
            <w:webHidden/>
          </w:rPr>
          <w:fldChar w:fldCharType="begin"/>
        </w:r>
        <w:r>
          <w:rPr>
            <w:noProof/>
            <w:webHidden/>
          </w:rPr>
          <w:instrText xml:space="preserve"> PAGEREF _Toc214456756 \h </w:instrText>
        </w:r>
        <w:r>
          <w:rPr>
            <w:noProof/>
            <w:webHidden/>
          </w:rPr>
        </w:r>
        <w:r>
          <w:rPr>
            <w:noProof/>
            <w:webHidden/>
          </w:rPr>
          <w:fldChar w:fldCharType="separate"/>
        </w:r>
        <w:r>
          <w:rPr>
            <w:noProof/>
            <w:webHidden/>
          </w:rPr>
          <w:t>21</w:t>
        </w:r>
        <w:r>
          <w:rPr>
            <w:noProof/>
            <w:webHidden/>
          </w:rPr>
          <w:fldChar w:fldCharType="end"/>
        </w:r>
      </w:hyperlink>
    </w:p>
    <w:p w14:paraId="3F6016EA" w14:textId="3F5A4747" w:rsidR="001A7EE4" w:rsidRDefault="001A7EE4">
      <w:pPr>
        <w:pStyle w:val="TOC4"/>
        <w:rPr>
          <w:rFonts w:eastAsiaTheme="minorEastAsia"/>
          <w:smallCaps w:val="0"/>
          <w:noProof/>
          <w:kern w:val="2"/>
          <w:sz w:val="24"/>
          <w:szCs w:val="24"/>
          <w:lang w:val="en-US" w:eastAsia="en-US" w:bidi="ar-SA"/>
          <w14:ligatures w14:val="standardContextual"/>
        </w:rPr>
      </w:pPr>
      <w:hyperlink w:anchor="_Toc214456757" w:history="1">
        <w:r w:rsidRPr="004460C9">
          <w:rPr>
            <w:rStyle w:val="Hyperlink"/>
            <w:noProof/>
            <w:lang w:val="en-IN"/>
          </w:rPr>
          <w:t>Microsoft Entra ID</w:t>
        </w:r>
        <w:r>
          <w:rPr>
            <w:noProof/>
            <w:webHidden/>
          </w:rPr>
          <w:tab/>
        </w:r>
        <w:r>
          <w:rPr>
            <w:noProof/>
            <w:webHidden/>
          </w:rPr>
          <w:fldChar w:fldCharType="begin"/>
        </w:r>
        <w:r>
          <w:rPr>
            <w:noProof/>
            <w:webHidden/>
          </w:rPr>
          <w:instrText xml:space="preserve"> PAGEREF _Toc214456757 \h </w:instrText>
        </w:r>
        <w:r>
          <w:rPr>
            <w:noProof/>
            <w:webHidden/>
          </w:rPr>
        </w:r>
        <w:r>
          <w:rPr>
            <w:noProof/>
            <w:webHidden/>
          </w:rPr>
          <w:fldChar w:fldCharType="separate"/>
        </w:r>
        <w:r>
          <w:rPr>
            <w:noProof/>
            <w:webHidden/>
          </w:rPr>
          <w:t>21</w:t>
        </w:r>
        <w:r>
          <w:rPr>
            <w:noProof/>
            <w:webHidden/>
          </w:rPr>
          <w:fldChar w:fldCharType="end"/>
        </w:r>
      </w:hyperlink>
    </w:p>
    <w:p w14:paraId="645BD9A2" w14:textId="4ADBF3CB" w:rsidR="001A7EE4" w:rsidRDefault="001A7EE4">
      <w:pPr>
        <w:pStyle w:val="TOC4"/>
        <w:rPr>
          <w:rFonts w:eastAsiaTheme="minorEastAsia"/>
          <w:smallCaps w:val="0"/>
          <w:noProof/>
          <w:kern w:val="2"/>
          <w:sz w:val="24"/>
          <w:szCs w:val="24"/>
          <w:lang w:val="en-US" w:eastAsia="en-US" w:bidi="ar-SA"/>
          <w14:ligatures w14:val="standardContextual"/>
        </w:rPr>
      </w:pPr>
      <w:hyperlink w:anchor="_Toc214456758" w:history="1">
        <w:r w:rsidRPr="004460C9">
          <w:rPr>
            <w:rStyle w:val="Hyperlink"/>
            <w:noProof/>
          </w:rPr>
          <w:t>Azure Active Directory B2C</w:t>
        </w:r>
        <w:r>
          <w:rPr>
            <w:noProof/>
            <w:webHidden/>
          </w:rPr>
          <w:tab/>
        </w:r>
        <w:r>
          <w:rPr>
            <w:noProof/>
            <w:webHidden/>
          </w:rPr>
          <w:fldChar w:fldCharType="begin"/>
        </w:r>
        <w:r>
          <w:rPr>
            <w:noProof/>
            <w:webHidden/>
          </w:rPr>
          <w:instrText xml:space="preserve"> PAGEREF _Toc214456758 \h </w:instrText>
        </w:r>
        <w:r>
          <w:rPr>
            <w:noProof/>
            <w:webHidden/>
          </w:rPr>
        </w:r>
        <w:r>
          <w:rPr>
            <w:noProof/>
            <w:webHidden/>
          </w:rPr>
          <w:fldChar w:fldCharType="separate"/>
        </w:r>
        <w:r>
          <w:rPr>
            <w:noProof/>
            <w:webHidden/>
          </w:rPr>
          <w:t>22</w:t>
        </w:r>
        <w:r>
          <w:rPr>
            <w:noProof/>
            <w:webHidden/>
          </w:rPr>
          <w:fldChar w:fldCharType="end"/>
        </w:r>
      </w:hyperlink>
    </w:p>
    <w:p w14:paraId="32B918C2" w14:textId="5C29888D" w:rsidR="001A7EE4" w:rsidRDefault="001A7EE4">
      <w:pPr>
        <w:pStyle w:val="TOC4"/>
        <w:rPr>
          <w:rFonts w:eastAsiaTheme="minorEastAsia"/>
          <w:smallCaps w:val="0"/>
          <w:noProof/>
          <w:kern w:val="2"/>
          <w:sz w:val="24"/>
          <w:szCs w:val="24"/>
          <w:lang w:val="en-US" w:eastAsia="en-US" w:bidi="ar-SA"/>
          <w14:ligatures w14:val="standardContextual"/>
        </w:rPr>
      </w:pPr>
      <w:hyperlink w:anchor="_Toc214456759" w:history="1">
        <w:r w:rsidRPr="004460C9">
          <w:rPr>
            <w:rStyle w:val="Hyperlink"/>
            <w:noProof/>
          </w:rPr>
          <w:t>Microsoft Entra Domain Services</w:t>
        </w:r>
        <w:r>
          <w:rPr>
            <w:noProof/>
            <w:webHidden/>
          </w:rPr>
          <w:tab/>
        </w:r>
        <w:r>
          <w:rPr>
            <w:noProof/>
            <w:webHidden/>
          </w:rPr>
          <w:fldChar w:fldCharType="begin"/>
        </w:r>
        <w:r>
          <w:rPr>
            <w:noProof/>
            <w:webHidden/>
          </w:rPr>
          <w:instrText xml:space="preserve"> PAGEREF _Toc214456759 \h </w:instrText>
        </w:r>
        <w:r>
          <w:rPr>
            <w:noProof/>
            <w:webHidden/>
          </w:rPr>
        </w:r>
        <w:r>
          <w:rPr>
            <w:noProof/>
            <w:webHidden/>
          </w:rPr>
          <w:fldChar w:fldCharType="separate"/>
        </w:r>
        <w:r>
          <w:rPr>
            <w:noProof/>
            <w:webHidden/>
          </w:rPr>
          <w:t>22</w:t>
        </w:r>
        <w:r>
          <w:rPr>
            <w:noProof/>
            <w:webHidden/>
          </w:rPr>
          <w:fldChar w:fldCharType="end"/>
        </w:r>
      </w:hyperlink>
    </w:p>
    <w:p w14:paraId="01F79C74" w14:textId="017919CC" w:rsidR="001A7EE4" w:rsidRDefault="001A7EE4">
      <w:pPr>
        <w:pStyle w:val="TOC4"/>
        <w:rPr>
          <w:rFonts w:eastAsiaTheme="minorEastAsia"/>
          <w:smallCaps w:val="0"/>
          <w:noProof/>
          <w:kern w:val="2"/>
          <w:sz w:val="24"/>
          <w:szCs w:val="24"/>
          <w:lang w:val="en-US" w:eastAsia="en-US" w:bidi="ar-SA"/>
          <w14:ligatures w14:val="standardContextual"/>
        </w:rPr>
      </w:pPr>
      <w:hyperlink w:anchor="_Toc214456760" w:history="1">
        <w:r w:rsidRPr="004460C9">
          <w:rPr>
            <w:rStyle w:val="Hyperlink"/>
            <w:noProof/>
          </w:rPr>
          <w:t>Analysis Services</w:t>
        </w:r>
        <w:r>
          <w:rPr>
            <w:noProof/>
            <w:webHidden/>
          </w:rPr>
          <w:tab/>
        </w:r>
        <w:r>
          <w:rPr>
            <w:noProof/>
            <w:webHidden/>
          </w:rPr>
          <w:fldChar w:fldCharType="begin"/>
        </w:r>
        <w:r>
          <w:rPr>
            <w:noProof/>
            <w:webHidden/>
          </w:rPr>
          <w:instrText xml:space="preserve"> PAGEREF _Toc214456760 \h </w:instrText>
        </w:r>
        <w:r>
          <w:rPr>
            <w:noProof/>
            <w:webHidden/>
          </w:rPr>
        </w:r>
        <w:r>
          <w:rPr>
            <w:noProof/>
            <w:webHidden/>
          </w:rPr>
          <w:fldChar w:fldCharType="separate"/>
        </w:r>
        <w:r>
          <w:rPr>
            <w:noProof/>
            <w:webHidden/>
          </w:rPr>
          <w:t>22</w:t>
        </w:r>
        <w:r>
          <w:rPr>
            <w:noProof/>
            <w:webHidden/>
          </w:rPr>
          <w:fldChar w:fldCharType="end"/>
        </w:r>
      </w:hyperlink>
    </w:p>
    <w:p w14:paraId="1339B6AE" w14:textId="1B7DCB5C" w:rsidR="001A7EE4" w:rsidRDefault="001A7EE4">
      <w:pPr>
        <w:pStyle w:val="TOC4"/>
        <w:rPr>
          <w:rFonts w:eastAsiaTheme="minorEastAsia"/>
          <w:smallCaps w:val="0"/>
          <w:noProof/>
          <w:kern w:val="2"/>
          <w:sz w:val="24"/>
          <w:szCs w:val="24"/>
          <w:lang w:val="en-US" w:eastAsia="en-US" w:bidi="ar-SA"/>
          <w14:ligatures w14:val="standardContextual"/>
        </w:rPr>
      </w:pPr>
      <w:hyperlink w:anchor="_Toc214456761" w:history="1">
        <w:r w:rsidRPr="004460C9">
          <w:rPr>
            <w:rStyle w:val="Hyperlink"/>
            <w:noProof/>
          </w:rPr>
          <w:t>Azure API for FHIR</w:t>
        </w:r>
        <w:r>
          <w:rPr>
            <w:noProof/>
            <w:webHidden/>
          </w:rPr>
          <w:tab/>
        </w:r>
        <w:r>
          <w:rPr>
            <w:noProof/>
            <w:webHidden/>
          </w:rPr>
          <w:fldChar w:fldCharType="begin"/>
        </w:r>
        <w:r>
          <w:rPr>
            <w:noProof/>
            <w:webHidden/>
          </w:rPr>
          <w:instrText xml:space="preserve"> PAGEREF _Toc214456761 \h </w:instrText>
        </w:r>
        <w:r>
          <w:rPr>
            <w:noProof/>
            <w:webHidden/>
          </w:rPr>
        </w:r>
        <w:r>
          <w:rPr>
            <w:noProof/>
            <w:webHidden/>
          </w:rPr>
          <w:fldChar w:fldCharType="separate"/>
        </w:r>
        <w:r>
          <w:rPr>
            <w:noProof/>
            <w:webHidden/>
          </w:rPr>
          <w:t>23</w:t>
        </w:r>
        <w:r>
          <w:rPr>
            <w:noProof/>
            <w:webHidden/>
          </w:rPr>
          <w:fldChar w:fldCharType="end"/>
        </w:r>
      </w:hyperlink>
    </w:p>
    <w:p w14:paraId="2821EEF5" w14:textId="4D4277FF" w:rsidR="001A7EE4" w:rsidRDefault="001A7EE4">
      <w:pPr>
        <w:pStyle w:val="TOC4"/>
        <w:rPr>
          <w:rFonts w:eastAsiaTheme="minorEastAsia"/>
          <w:smallCaps w:val="0"/>
          <w:noProof/>
          <w:kern w:val="2"/>
          <w:sz w:val="24"/>
          <w:szCs w:val="24"/>
          <w:lang w:val="en-US" w:eastAsia="en-US" w:bidi="ar-SA"/>
          <w14:ligatures w14:val="standardContextual"/>
        </w:rPr>
      </w:pPr>
      <w:hyperlink w:anchor="_Toc214456762" w:history="1">
        <w:r w:rsidRPr="004460C9">
          <w:rPr>
            <w:rStyle w:val="Hyperlink"/>
            <w:noProof/>
          </w:rPr>
          <w:t>Servi</w:t>
        </w:r>
        <w:r w:rsidRPr="004460C9">
          <w:rPr>
            <w:rStyle w:val="Hyperlink"/>
            <w:rFonts w:ascii="Calibri Light (Heading)" w:hAnsi="Calibri Light (Heading)" w:cs="Calibri Light"/>
            <w:noProof/>
          </w:rPr>
          <w:t>ços do Centro de APIs</w:t>
        </w:r>
        <w:r>
          <w:rPr>
            <w:noProof/>
            <w:webHidden/>
          </w:rPr>
          <w:tab/>
        </w:r>
        <w:r>
          <w:rPr>
            <w:noProof/>
            <w:webHidden/>
          </w:rPr>
          <w:fldChar w:fldCharType="begin"/>
        </w:r>
        <w:r>
          <w:rPr>
            <w:noProof/>
            <w:webHidden/>
          </w:rPr>
          <w:instrText xml:space="preserve"> PAGEREF _Toc214456762 \h </w:instrText>
        </w:r>
        <w:r>
          <w:rPr>
            <w:noProof/>
            <w:webHidden/>
          </w:rPr>
        </w:r>
        <w:r>
          <w:rPr>
            <w:noProof/>
            <w:webHidden/>
          </w:rPr>
          <w:fldChar w:fldCharType="separate"/>
        </w:r>
        <w:r>
          <w:rPr>
            <w:noProof/>
            <w:webHidden/>
          </w:rPr>
          <w:t>23</w:t>
        </w:r>
        <w:r>
          <w:rPr>
            <w:noProof/>
            <w:webHidden/>
          </w:rPr>
          <w:fldChar w:fldCharType="end"/>
        </w:r>
      </w:hyperlink>
    </w:p>
    <w:p w14:paraId="38D8EAE5" w14:textId="151EF89B" w:rsidR="001A7EE4" w:rsidRDefault="001A7EE4">
      <w:pPr>
        <w:pStyle w:val="TOC4"/>
        <w:rPr>
          <w:rFonts w:eastAsiaTheme="minorEastAsia"/>
          <w:smallCaps w:val="0"/>
          <w:noProof/>
          <w:kern w:val="2"/>
          <w:sz w:val="24"/>
          <w:szCs w:val="24"/>
          <w:lang w:val="en-US" w:eastAsia="en-US" w:bidi="ar-SA"/>
          <w14:ligatures w14:val="standardContextual"/>
        </w:rPr>
      </w:pPr>
      <w:hyperlink w:anchor="_Toc214456763" w:history="1">
        <w:r w:rsidRPr="004460C9">
          <w:rPr>
            <w:rStyle w:val="Hyperlink"/>
            <w:noProof/>
          </w:rPr>
          <w:t>API Management Services</w:t>
        </w:r>
        <w:r>
          <w:rPr>
            <w:noProof/>
            <w:webHidden/>
          </w:rPr>
          <w:tab/>
        </w:r>
        <w:r>
          <w:rPr>
            <w:noProof/>
            <w:webHidden/>
          </w:rPr>
          <w:fldChar w:fldCharType="begin"/>
        </w:r>
        <w:r>
          <w:rPr>
            <w:noProof/>
            <w:webHidden/>
          </w:rPr>
          <w:instrText xml:space="preserve"> PAGEREF _Toc214456763 \h </w:instrText>
        </w:r>
        <w:r>
          <w:rPr>
            <w:noProof/>
            <w:webHidden/>
          </w:rPr>
        </w:r>
        <w:r>
          <w:rPr>
            <w:noProof/>
            <w:webHidden/>
          </w:rPr>
          <w:fldChar w:fldCharType="separate"/>
        </w:r>
        <w:r>
          <w:rPr>
            <w:noProof/>
            <w:webHidden/>
          </w:rPr>
          <w:t>24</w:t>
        </w:r>
        <w:r>
          <w:rPr>
            <w:noProof/>
            <w:webHidden/>
          </w:rPr>
          <w:fldChar w:fldCharType="end"/>
        </w:r>
      </w:hyperlink>
    </w:p>
    <w:p w14:paraId="74B82E60" w14:textId="4AA2F597" w:rsidR="001A7EE4" w:rsidRDefault="001A7EE4">
      <w:pPr>
        <w:pStyle w:val="TOC4"/>
        <w:rPr>
          <w:rFonts w:eastAsiaTheme="minorEastAsia"/>
          <w:smallCaps w:val="0"/>
          <w:noProof/>
          <w:kern w:val="2"/>
          <w:sz w:val="24"/>
          <w:szCs w:val="24"/>
          <w:lang w:val="en-US" w:eastAsia="en-US" w:bidi="ar-SA"/>
          <w14:ligatures w14:val="standardContextual"/>
        </w:rPr>
      </w:pPr>
      <w:hyperlink w:anchor="_Toc214456764" w:history="1">
        <w:r w:rsidRPr="004460C9">
          <w:rPr>
            <w:rStyle w:val="Hyperlink"/>
            <w:noProof/>
          </w:rPr>
          <w:t>App Center</w:t>
        </w:r>
        <w:r>
          <w:rPr>
            <w:noProof/>
            <w:webHidden/>
          </w:rPr>
          <w:tab/>
        </w:r>
        <w:r>
          <w:rPr>
            <w:noProof/>
            <w:webHidden/>
          </w:rPr>
          <w:fldChar w:fldCharType="begin"/>
        </w:r>
        <w:r>
          <w:rPr>
            <w:noProof/>
            <w:webHidden/>
          </w:rPr>
          <w:instrText xml:space="preserve"> PAGEREF _Toc214456764 \h </w:instrText>
        </w:r>
        <w:r>
          <w:rPr>
            <w:noProof/>
            <w:webHidden/>
          </w:rPr>
        </w:r>
        <w:r>
          <w:rPr>
            <w:noProof/>
            <w:webHidden/>
          </w:rPr>
          <w:fldChar w:fldCharType="separate"/>
        </w:r>
        <w:r>
          <w:rPr>
            <w:noProof/>
            <w:webHidden/>
          </w:rPr>
          <w:t>24</w:t>
        </w:r>
        <w:r>
          <w:rPr>
            <w:noProof/>
            <w:webHidden/>
          </w:rPr>
          <w:fldChar w:fldCharType="end"/>
        </w:r>
      </w:hyperlink>
    </w:p>
    <w:p w14:paraId="58D81B40" w14:textId="710835AB" w:rsidR="001A7EE4" w:rsidRDefault="001A7EE4">
      <w:pPr>
        <w:pStyle w:val="TOC4"/>
        <w:rPr>
          <w:rFonts w:eastAsiaTheme="minorEastAsia"/>
          <w:smallCaps w:val="0"/>
          <w:noProof/>
          <w:kern w:val="2"/>
          <w:sz w:val="24"/>
          <w:szCs w:val="24"/>
          <w:lang w:val="en-US" w:eastAsia="en-US" w:bidi="ar-SA"/>
          <w14:ligatures w14:val="standardContextual"/>
        </w:rPr>
      </w:pPr>
      <w:hyperlink w:anchor="_Toc214456765" w:history="1">
        <w:r w:rsidRPr="004460C9">
          <w:rPr>
            <w:rStyle w:val="Hyperlink"/>
            <w:noProof/>
          </w:rPr>
          <w:t>App Configuration</w:t>
        </w:r>
        <w:r>
          <w:rPr>
            <w:noProof/>
            <w:webHidden/>
          </w:rPr>
          <w:tab/>
        </w:r>
        <w:r>
          <w:rPr>
            <w:noProof/>
            <w:webHidden/>
          </w:rPr>
          <w:fldChar w:fldCharType="begin"/>
        </w:r>
        <w:r>
          <w:rPr>
            <w:noProof/>
            <w:webHidden/>
          </w:rPr>
          <w:instrText xml:space="preserve"> PAGEREF _Toc214456765 \h </w:instrText>
        </w:r>
        <w:r>
          <w:rPr>
            <w:noProof/>
            <w:webHidden/>
          </w:rPr>
        </w:r>
        <w:r>
          <w:rPr>
            <w:noProof/>
            <w:webHidden/>
          </w:rPr>
          <w:fldChar w:fldCharType="separate"/>
        </w:r>
        <w:r>
          <w:rPr>
            <w:noProof/>
            <w:webHidden/>
          </w:rPr>
          <w:t>25</w:t>
        </w:r>
        <w:r>
          <w:rPr>
            <w:noProof/>
            <w:webHidden/>
          </w:rPr>
          <w:fldChar w:fldCharType="end"/>
        </w:r>
      </w:hyperlink>
    </w:p>
    <w:p w14:paraId="759A422F" w14:textId="099A0B30" w:rsidR="001A7EE4" w:rsidRDefault="001A7EE4">
      <w:pPr>
        <w:pStyle w:val="TOC4"/>
        <w:rPr>
          <w:rFonts w:eastAsiaTheme="minorEastAsia"/>
          <w:smallCaps w:val="0"/>
          <w:noProof/>
          <w:kern w:val="2"/>
          <w:sz w:val="24"/>
          <w:szCs w:val="24"/>
          <w:lang w:val="en-US" w:eastAsia="en-US" w:bidi="ar-SA"/>
          <w14:ligatures w14:val="standardContextual"/>
        </w:rPr>
      </w:pPr>
      <w:hyperlink w:anchor="_Toc214456766" w:history="1">
        <w:r w:rsidRPr="004460C9">
          <w:rPr>
            <w:rStyle w:val="Hyperlink"/>
            <w:noProof/>
          </w:rPr>
          <w:t>App Service</w:t>
        </w:r>
        <w:r>
          <w:rPr>
            <w:noProof/>
            <w:webHidden/>
          </w:rPr>
          <w:tab/>
        </w:r>
        <w:r>
          <w:rPr>
            <w:noProof/>
            <w:webHidden/>
          </w:rPr>
          <w:fldChar w:fldCharType="begin"/>
        </w:r>
        <w:r>
          <w:rPr>
            <w:noProof/>
            <w:webHidden/>
          </w:rPr>
          <w:instrText xml:space="preserve"> PAGEREF _Toc214456766 \h </w:instrText>
        </w:r>
        <w:r>
          <w:rPr>
            <w:noProof/>
            <w:webHidden/>
          </w:rPr>
        </w:r>
        <w:r>
          <w:rPr>
            <w:noProof/>
            <w:webHidden/>
          </w:rPr>
          <w:fldChar w:fldCharType="separate"/>
        </w:r>
        <w:r>
          <w:rPr>
            <w:noProof/>
            <w:webHidden/>
          </w:rPr>
          <w:t>26</w:t>
        </w:r>
        <w:r>
          <w:rPr>
            <w:noProof/>
            <w:webHidden/>
          </w:rPr>
          <w:fldChar w:fldCharType="end"/>
        </w:r>
      </w:hyperlink>
    </w:p>
    <w:p w14:paraId="39EA0068" w14:textId="5D5F04AC" w:rsidR="001A7EE4" w:rsidRDefault="001A7EE4">
      <w:pPr>
        <w:pStyle w:val="TOC4"/>
        <w:rPr>
          <w:rFonts w:eastAsiaTheme="minorEastAsia"/>
          <w:smallCaps w:val="0"/>
          <w:noProof/>
          <w:kern w:val="2"/>
          <w:sz w:val="24"/>
          <w:szCs w:val="24"/>
          <w:lang w:val="en-US" w:eastAsia="en-US" w:bidi="ar-SA"/>
          <w14:ligatures w14:val="standardContextual"/>
        </w:rPr>
      </w:pPr>
      <w:hyperlink w:anchor="_Toc214456767" w:history="1">
        <w:r w:rsidRPr="004460C9">
          <w:rPr>
            <w:rStyle w:val="Hyperlink"/>
            <w:noProof/>
          </w:rPr>
          <w:t>Gateway de Aplicação</w:t>
        </w:r>
        <w:r>
          <w:rPr>
            <w:noProof/>
            <w:webHidden/>
          </w:rPr>
          <w:tab/>
        </w:r>
        <w:r>
          <w:rPr>
            <w:noProof/>
            <w:webHidden/>
          </w:rPr>
          <w:fldChar w:fldCharType="begin"/>
        </w:r>
        <w:r>
          <w:rPr>
            <w:noProof/>
            <w:webHidden/>
          </w:rPr>
          <w:instrText xml:space="preserve"> PAGEREF _Toc214456767 \h </w:instrText>
        </w:r>
        <w:r>
          <w:rPr>
            <w:noProof/>
            <w:webHidden/>
          </w:rPr>
        </w:r>
        <w:r>
          <w:rPr>
            <w:noProof/>
            <w:webHidden/>
          </w:rPr>
          <w:fldChar w:fldCharType="separate"/>
        </w:r>
        <w:r>
          <w:rPr>
            <w:noProof/>
            <w:webHidden/>
          </w:rPr>
          <w:t>27</w:t>
        </w:r>
        <w:r>
          <w:rPr>
            <w:noProof/>
            <w:webHidden/>
          </w:rPr>
          <w:fldChar w:fldCharType="end"/>
        </w:r>
      </w:hyperlink>
    </w:p>
    <w:p w14:paraId="611E6F05" w14:textId="2621BDCF" w:rsidR="001A7EE4" w:rsidRDefault="001A7EE4">
      <w:pPr>
        <w:pStyle w:val="TOC4"/>
        <w:rPr>
          <w:rFonts w:eastAsiaTheme="minorEastAsia"/>
          <w:smallCaps w:val="0"/>
          <w:noProof/>
          <w:kern w:val="2"/>
          <w:sz w:val="24"/>
          <w:szCs w:val="24"/>
          <w:lang w:val="en-US" w:eastAsia="en-US" w:bidi="ar-SA"/>
          <w14:ligatures w14:val="standardContextual"/>
        </w:rPr>
      </w:pPr>
      <w:hyperlink w:anchor="_Toc214456768" w:history="1">
        <w:r w:rsidRPr="004460C9">
          <w:rPr>
            <w:rStyle w:val="Hyperlink"/>
            <w:noProof/>
          </w:rPr>
          <w:t>Gateway de Aplicação para Contentores</w:t>
        </w:r>
        <w:r>
          <w:rPr>
            <w:noProof/>
            <w:webHidden/>
          </w:rPr>
          <w:tab/>
        </w:r>
        <w:r>
          <w:rPr>
            <w:noProof/>
            <w:webHidden/>
          </w:rPr>
          <w:fldChar w:fldCharType="begin"/>
        </w:r>
        <w:r>
          <w:rPr>
            <w:noProof/>
            <w:webHidden/>
          </w:rPr>
          <w:instrText xml:space="preserve"> PAGEREF _Toc214456768 \h </w:instrText>
        </w:r>
        <w:r>
          <w:rPr>
            <w:noProof/>
            <w:webHidden/>
          </w:rPr>
        </w:r>
        <w:r>
          <w:rPr>
            <w:noProof/>
            <w:webHidden/>
          </w:rPr>
          <w:fldChar w:fldCharType="separate"/>
        </w:r>
        <w:r>
          <w:rPr>
            <w:noProof/>
            <w:webHidden/>
          </w:rPr>
          <w:t>27</w:t>
        </w:r>
        <w:r>
          <w:rPr>
            <w:noProof/>
            <w:webHidden/>
          </w:rPr>
          <w:fldChar w:fldCharType="end"/>
        </w:r>
      </w:hyperlink>
    </w:p>
    <w:p w14:paraId="6795F977" w14:textId="5541E5CB" w:rsidR="001A7EE4" w:rsidRDefault="001A7EE4">
      <w:pPr>
        <w:pStyle w:val="TOC4"/>
        <w:rPr>
          <w:rFonts w:eastAsiaTheme="minorEastAsia"/>
          <w:smallCaps w:val="0"/>
          <w:noProof/>
          <w:kern w:val="2"/>
          <w:sz w:val="24"/>
          <w:szCs w:val="24"/>
          <w:lang w:val="en-US" w:eastAsia="en-US" w:bidi="ar-SA"/>
          <w14:ligatures w14:val="standardContextual"/>
        </w:rPr>
      </w:pPr>
      <w:hyperlink w:anchor="_Toc214456769" w:history="1">
        <w:r w:rsidRPr="004460C9">
          <w:rPr>
            <w:rStyle w:val="Hyperlink"/>
            <w:noProof/>
          </w:rPr>
          <w:t>Application Insights</w:t>
        </w:r>
        <w:r>
          <w:rPr>
            <w:noProof/>
            <w:webHidden/>
          </w:rPr>
          <w:tab/>
        </w:r>
        <w:r>
          <w:rPr>
            <w:noProof/>
            <w:webHidden/>
          </w:rPr>
          <w:fldChar w:fldCharType="begin"/>
        </w:r>
        <w:r>
          <w:rPr>
            <w:noProof/>
            <w:webHidden/>
          </w:rPr>
          <w:instrText xml:space="preserve"> PAGEREF _Toc214456769 \h </w:instrText>
        </w:r>
        <w:r>
          <w:rPr>
            <w:noProof/>
            <w:webHidden/>
          </w:rPr>
        </w:r>
        <w:r>
          <w:rPr>
            <w:noProof/>
            <w:webHidden/>
          </w:rPr>
          <w:fldChar w:fldCharType="separate"/>
        </w:r>
        <w:r>
          <w:rPr>
            <w:noProof/>
            <w:webHidden/>
          </w:rPr>
          <w:t>28</w:t>
        </w:r>
        <w:r>
          <w:rPr>
            <w:noProof/>
            <w:webHidden/>
          </w:rPr>
          <w:fldChar w:fldCharType="end"/>
        </w:r>
      </w:hyperlink>
    </w:p>
    <w:p w14:paraId="7F904496" w14:textId="5796ADC9" w:rsidR="001A7EE4" w:rsidRDefault="001A7EE4">
      <w:pPr>
        <w:pStyle w:val="TOC4"/>
        <w:rPr>
          <w:rFonts w:eastAsiaTheme="minorEastAsia"/>
          <w:smallCaps w:val="0"/>
          <w:noProof/>
          <w:kern w:val="2"/>
          <w:sz w:val="24"/>
          <w:szCs w:val="24"/>
          <w:lang w:val="en-US" w:eastAsia="en-US" w:bidi="ar-SA"/>
          <w14:ligatures w14:val="standardContextual"/>
        </w:rPr>
      </w:pPr>
      <w:hyperlink w:anchor="_Toc214456770" w:history="1">
        <w:r w:rsidRPr="004460C9">
          <w:rPr>
            <w:rStyle w:val="Hyperlink"/>
            <w:noProof/>
          </w:rPr>
          <w:t>Azure Arc</w:t>
        </w:r>
        <w:r>
          <w:rPr>
            <w:noProof/>
            <w:webHidden/>
          </w:rPr>
          <w:tab/>
        </w:r>
        <w:r>
          <w:rPr>
            <w:noProof/>
            <w:webHidden/>
          </w:rPr>
          <w:fldChar w:fldCharType="begin"/>
        </w:r>
        <w:r>
          <w:rPr>
            <w:noProof/>
            <w:webHidden/>
          </w:rPr>
          <w:instrText xml:space="preserve"> PAGEREF _Toc214456770 \h </w:instrText>
        </w:r>
        <w:r>
          <w:rPr>
            <w:noProof/>
            <w:webHidden/>
          </w:rPr>
        </w:r>
        <w:r>
          <w:rPr>
            <w:noProof/>
            <w:webHidden/>
          </w:rPr>
          <w:fldChar w:fldCharType="separate"/>
        </w:r>
        <w:r>
          <w:rPr>
            <w:noProof/>
            <w:webHidden/>
          </w:rPr>
          <w:t>28</w:t>
        </w:r>
        <w:r>
          <w:rPr>
            <w:noProof/>
            <w:webHidden/>
          </w:rPr>
          <w:fldChar w:fldCharType="end"/>
        </w:r>
      </w:hyperlink>
    </w:p>
    <w:p w14:paraId="5CA42015" w14:textId="709AF6DA" w:rsidR="001A7EE4" w:rsidRDefault="001A7EE4">
      <w:pPr>
        <w:pStyle w:val="TOC4"/>
        <w:rPr>
          <w:rFonts w:eastAsiaTheme="minorEastAsia"/>
          <w:smallCaps w:val="0"/>
          <w:noProof/>
          <w:kern w:val="2"/>
          <w:sz w:val="24"/>
          <w:szCs w:val="24"/>
          <w:lang w:val="en-US" w:eastAsia="en-US" w:bidi="ar-SA"/>
          <w14:ligatures w14:val="standardContextual"/>
        </w:rPr>
      </w:pPr>
      <w:hyperlink w:anchor="_Toc214456771" w:history="1">
        <w:r w:rsidRPr="004460C9">
          <w:rPr>
            <w:rStyle w:val="Hyperlink"/>
            <w:noProof/>
          </w:rPr>
          <w:t>Automatização</w:t>
        </w:r>
        <w:r>
          <w:rPr>
            <w:noProof/>
            <w:webHidden/>
          </w:rPr>
          <w:tab/>
        </w:r>
        <w:r>
          <w:rPr>
            <w:noProof/>
            <w:webHidden/>
          </w:rPr>
          <w:fldChar w:fldCharType="begin"/>
        </w:r>
        <w:r>
          <w:rPr>
            <w:noProof/>
            <w:webHidden/>
          </w:rPr>
          <w:instrText xml:space="preserve"> PAGEREF _Toc214456771 \h </w:instrText>
        </w:r>
        <w:r>
          <w:rPr>
            <w:noProof/>
            <w:webHidden/>
          </w:rPr>
        </w:r>
        <w:r>
          <w:rPr>
            <w:noProof/>
            <w:webHidden/>
          </w:rPr>
          <w:fldChar w:fldCharType="separate"/>
        </w:r>
        <w:r>
          <w:rPr>
            <w:noProof/>
            <w:webHidden/>
          </w:rPr>
          <w:t>29</w:t>
        </w:r>
        <w:r>
          <w:rPr>
            <w:noProof/>
            <w:webHidden/>
          </w:rPr>
          <w:fldChar w:fldCharType="end"/>
        </w:r>
      </w:hyperlink>
    </w:p>
    <w:p w14:paraId="1F6FAD8F" w14:textId="18C99492" w:rsidR="001A7EE4" w:rsidRDefault="001A7EE4">
      <w:pPr>
        <w:pStyle w:val="TOC4"/>
        <w:rPr>
          <w:rFonts w:eastAsiaTheme="minorEastAsia"/>
          <w:smallCaps w:val="0"/>
          <w:noProof/>
          <w:kern w:val="2"/>
          <w:sz w:val="24"/>
          <w:szCs w:val="24"/>
          <w:lang w:val="en-US" w:eastAsia="en-US" w:bidi="ar-SA"/>
          <w14:ligatures w14:val="standardContextual"/>
        </w:rPr>
      </w:pPr>
      <w:hyperlink w:anchor="_Toc214456772" w:history="1">
        <w:r w:rsidRPr="004460C9">
          <w:rPr>
            <w:rStyle w:val="Hyperlink"/>
            <w:noProof/>
          </w:rPr>
          <w:t>Azure Backup</w:t>
        </w:r>
        <w:r>
          <w:rPr>
            <w:noProof/>
            <w:webHidden/>
          </w:rPr>
          <w:tab/>
        </w:r>
        <w:r>
          <w:rPr>
            <w:noProof/>
            <w:webHidden/>
          </w:rPr>
          <w:fldChar w:fldCharType="begin"/>
        </w:r>
        <w:r>
          <w:rPr>
            <w:noProof/>
            <w:webHidden/>
          </w:rPr>
          <w:instrText xml:space="preserve"> PAGEREF _Toc214456772 \h </w:instrText>
        </w:r>
        <w:r>
          <w:rPr>
            <w:noProof/>
            <w:webHidden/>
          </w:rPr>
        </w:r>
        <w:r>
          <w:rPr>
            <w:noProof/>
            <w:webHidden/>
          </w:rPr>
          <w:fldChar w:fldCharType="separate"/>
        </w:r>
        <w:r>
          <w:rPr>
            <w:noProof/>
            <w:webHidden/>
          </w:rPr>
          <w:t>29</w:t>
        </w:r>
        <w:r>
          <w:rPr>
            <w:noProof/>
            <w:webHidden/>
          </w:rPr>
          <w:fldChar w:fldCharType="end"/>
        </w:r>
      </w:hyperlink>
    </w:p>
    <w:p w14:paraId="1A61F7F4" w14:textId="4D2EB1C1" w:rsidR="001A7EE4" w:rsidRDefault="001A7EE4">
      <w:pPr>
        <w:pStyle w:val="TOC4"/>
        <w:rPr>
          <w:rFonts w:eastAsiaTheme="minorEastAsia"/>
          <w:smallCaps w:val="0"/>
          <w:noProof/>
          <w:kern w:val="2"/>
          <w:sz w:val="24"/>
          <w:szCs w:val="24"/>
          <w:lang w:val="en-US" w:eastAsia="en-US" w:bidi="ar-SA"/>
          <w14:ligatures w14:val="standardContextual"/>
        </w:rPr>
      </w:pPr>
      <w:hyperlink w:anchor="_Toc214456773" w:history="1">
        <w:r w:rsidRPr="004460C9">
          <w:rPr>
            <w:rStyle w:val="Hyperlink"/>
            <w:noProof/>
          </w:rPr>
          <w:t>Azure Bastion</w:t>
        </w:r>
        <w:r>
          <w:rPr>
            <w:noProof/>
            <w:webHidden/>
          </w:rPr>
          <w:tab/>
        </w:r>
        <w:r>
          <w:rPr>
            <w:noProof/>
            <w:webHidden/>
          </w:rPr>
          <w:fldChar w:fldCharType="begin"/>
        </w:r>
        <w:r>
          <w:rPr>
            <w:noProof/>
            <w:webHidden/>
          </w:rPr>
          <w:instrText xml:space="preserve"> PAGEREF _Toc214456773 \h </w:instrText>
        </w:r>
        <w:r>
          <w:rPr>
            <w:noProof/>
            <w:webHidden/>
          </w:rPr>
        </w:r>
        <w:r>
          <w:rPr>
            <w:noProof/>
            <w:webHidden/>
          </w:rPr>
          <w:fldChar w:fldCharType="separate"/>
        </w:r>
        <w:r>
          <w:rPr>
            <w:noProof/>
            <w:webHidden/>
          </w:rPr>
          <w:t>30</w:t>
        </w:r>
        <w:r>
          <w:rPr>
            <w:noProof/>
            <w:webHidden/>
          </w:rPr>
          <w:fldChar w:fldCharType="end"/>
        </w:r>
      </w:hyperlink>
    </w:p>
    <w:p w14:paraId="3B721D8A" w14:textId="4E7EC5FA" w:rsidR="001A7EE4" w:rsidRDefault="001A7EE4">
      <w:pPr>
        <w:pStyle w:val="TOC4"/>
        <w:rPr>
          <w:rFonts w:eastAsiaTheme="minorEastAsia"/>
          <w:smallCaps w:val="0"/>
          <w:noProof/>
          <w:kern w:val="2"/>
          <w:sz w:val="24"/>
          <w:szCs w:val="24"/>
          <w:lang w:val="en-US" w:eastAsia="en-US" w:bidi="ar-SA"/>
          <w14:ligatures w14:val="standardContextual"/>
        </w:rPr>
      </w:pPr>
      <w:hyperlink w:anchor="_Toc214456774" w:history="1">
        <w:r w:rsidRPr="004460C9">
          <w:rPr>
            <w:rStyle w:val="Hyperlink"/>
            <w:noProof/>
          </w:rPr>
          <w:t>Batch</w:t>
        </w:r>
        <w:r>
          <w:rPr>
            <w:noProof/>
            <w:webHidden/>
          </w:rPr>
          <w:tab/>
        </w:r>
        <w:r>
          <w:rPr>
            <w:noProof/>
            <w:webHidden/>
          </w:rPr>
          <w:fldChar w:fldCharType="begin"/>
        </w:r>
        <w:r>
          <w:rPr>
            <w:noProof/>
            <w:webHidden/>
          </w:rPr>
          <w:instrText xml:space="preserve"> PAGEREF _Toc214456774 \h </w:instrText>
        </w:r>
        <w:r>
          <w:rPr>
            <w:noProof/>
            <w:webHidden/>
          </w:rPr>
        </w:r>
        <w:r>
          <w:rPr>
            <w:noProof/>
            <w:webHidden/>
          </w:rPr>
          <w:fldChar w:fldCharType="separate"/>
        </w:r>
        <w:r>
          <w:rPr>
            <w:noProof/>
            <w:webHidden/>
          </w:rPr>
          <w:t>30</w:t>
        </w:r>
        <w:r>
          <w:rPr>
            <w:noProof/>
            <w:webHidden/>
          </w:rPr>
          <w:fldChar w:fldCharType="end"/>
        </w:r>
      </w:hyperlink>
    </w:p>
    <w:p w14:paraId="23E3FF11" w14:textId="26B1944E" w:rsidR="001A7EE4" w:rsidRDefault="001A7EE4">
      <w:pPr>
        <w:pStyle w:val="TOC4"/>
        <w:rPr>
          <w:rFonts w:eastAsiaTheme="minorEastAsia"/>
          <w:smallCaps w:val="0"/>
          <w:noProof/>
          <w:kern w:val="2"/>
          <w:sz w:val="24"/>
          <w:szCs w:val="24"/>
          <w:lang w:val="en-US" w:eastAsia="en-US" w:bidi="ar-SA"/>
          <w14:ligatures w14:val="standardContextual"/>
        </w:rPr>
      </w:pPr>
      <w:hyperlink w:anchor="_Toc214456775" w:history="1">
        <w:r w:rsidRPr="004460C9">
          <w:rPr>
            <w:rStyle w:val="Hyperlink"/>
            <w:noProof/>
          </w:rPr>
          <w:t>Serviços BizTalk</w:t>
        </w:r>
        <w:r>
          <w:rPr>
            <w:noProof/>
            <w:webHidden/>
          </w:rPr>
          <w:tab/>
        </w:r>
        <w:r>
          <w:rPr>
            <w:noProof/>
            <w:webHidden/>
          </w:rPr>
          <w:fldChar w:fldCharType="begin"/>
        </w:r>
        <w:r>
          <w:rPr>
            <w:noProof/>
            <w:webHidden/>
          </w:rPr>
          <w:instrText xml:space="preserve"> PAGEREF _Toc214456775 \h </w:instrText>
        </w:r>
        <w:r>
          <w:rPr>
            <w:noProof/>
            <w:webHidden/>
          </w:rPr>
        </w:r>
        <w:r>
          <w:rPr>
            <w:noProof/>
            <w:webHidden/>
          </w:rPr>
          <w:fldChar w:fldCharType="separate"/>
        </w:r>
        <w:r>
          <w:rPr>
            <w:noProof/>
            <w:webHidden/>
          </w:rPr>
          <w:t>31</w:t>
        </w:r>
        <w:r>
          <w:rPr>
            <w:noProof/>
            <w:webHidden/>
          </w:rPr>
          <w:fldChar w:fldCharType="end"/>
        </w:r>
      </w:hyperlink>
    </w:p>
    <w:p w14:paraId="7CBCF109" w14:textId="7A345F2E" w:rsidR="001A7EE4" w:rsidRDefault="001A7EE4">
      <w:pPr>
        <w:pStyle w:val="TOC4"/>
        <w:rPr>
          <w:rFonts w:eastAsiaTheme="minorEastAsia"/>
          <w:smallCaps w:val="0"/>
          <w:noProof/>
          <w:kern w:val="2"/>
          <w:sz w:val="24"/>
          <w:szCs w:val="24"/>
          <w:lang w:val="en-US" w:eastAsia="en-US" w:bidi="ar-SA"/>
          <w14:ligatures w14:val="standardContextual"/>
        </w:rPr>
      </w:pPr>
      <w:hyperlink w:anchor="_Toc214456776" w:history="1">
        <w:r w:rsidRPr="004460C9">
          <w:rPr>
            <w:rStyle w:val="Hyperlink"/>
            <w:noProof/>
          </w:rPr>
          <w:t>Azure Bot Service</w:t>
        </w:r>
        <w:r>
          <w:rPr>
            <w:noProof/>
            <w:webHidden/>
          </w:rPr>
          <w:tab/>
        </w:r>
        <w:r>
          <w:rPr>
            <w:noProof/>
            <w:webHidden/>
          </w:rPr>
          <w:fldChar w:fldCharType="begin"/>
        </w:r>
        <w:r>
          <w:rPr>
            <w:noProof/>
            <w:webHidden/>
          </w:rPr>
          <w:instrText xml:space="preserve"> PAGEREF _Toc214456776 \h </w:instrText>
        </w:r>
        <w:r>
          <w:rPr>
            <w:noProof/>
            <w:webHidden/>
          </w:rPr>
        </w:r>
        <w:r>
          <w:rPr>
            <w:noProof/>
            <w:webHidden/>
          </w:rPr>
          <w:fldChar w:fldCharType="separate"/>
        </w:r>
        <w:r>
          <w:rPr>
            <w:noProof/>
            <w:webHidden/>
          </w:rPr>
          <w:t>31</w:t>
        </w:r>
        <w:r>
          <w:rPr>
            <w:noProof/>
            <w:webHidden/>
          </w:rPr>
          <w:fldChar w:fldCharType="end"/>
        </w:r>
      </w:hyperlink>
    </w:p>
    <w:p w14:paraId="7777D982" w14:textId="607570EE" w:rsidR="001A7EE4" w:rsidRDefault="001A7EE4">
      <w:pPr>
        <w:pStyle w:val="TOC4"/>
        <w:rPr>
          <w:rFonts w:eastAsiaTheme="minorEastAsia"/>
          <w:smallCaps w:val="0"/>
          <w:noProof/>
          <w:kern w:val="2"/>
          <w:sz w:val="24"/>
          <w:szCs w:val="24"/>
          <w:lang w:val="en-US" w:eastAsia="en-US" w:bidi="ar-SA"/>
          <w14:ligatures w14:val="standardContextual"/>
        </w:rPr>
      </w:pPr>
      <w:hyperlink w:anchor="_Toc214456777" w:history="1">
        <w:r w:rsidRPr="004460C9">
          <w:rPr>
            <w:rStyle w:val="Hyperlink"/>
            <w:noProof/>
          </w:rPr>
          <w:t>Cache do Azure para Redis</w:t>
        </w:r>
        <w:r>
          <w:rPr>
            <w:noProof/>
            <w:webHidden/>
          </w:rPr>
          <w:tab/>
        </w:r>
        <w:r>
          <w:rPr>
            <w:noProof/>
            <w:webHidden/>
          </w:rPr>
          <w:fldChar w:fldCharType="begin"/>
        </w:r>
        <w:r>
          <w:rPr>
            <w:noProof/>
            <w:webHidden/>
          </w:rPr>
          <w:instrText xml:space="preserve"> PAGEREF _Toc214456777 \h </w:instrText>
        </w:r>
        <w:r>
          <w:rPr>
            <w:noProof/>
            <w:webHidden/>
          </w:rPr>
        </w:r>
        <w:r>
          <w:rPr>
            <w:noProof/>
            <w:webHidden/>
          </w:rPr>
          <w:fldChar w:fldCharType="separate"/>
        </w:r>
        <w:r>
          <w:rPr>
            <w:noProof/>
            <w:webHidden/>
          </w:rPr>
          <w:t>32</w:t>
        </w:r>
        <w:r>
          <w:rPr>
            <w:noProof/>
            <w:webHidden/>
          </w:rPr>
          <w:fldChar w:fldCharType="end"/>
        </w:r>
      </w:hyperlink>
    </w:p>
    <w:p w14:paraId="4BE03827" w14:textId="317145E9" w:rsidR="001A7EE4" w:rsidRDefault="001A7EE4">
      <w:pPr>
        <w:pStyle w:val="TOC4"/>
        <w:rPr>
          <w:rFonts w:eastAsiaTheme="minorEastAsia"/>
          <w:smallCaps w:val="0"/>
          <w:noProof/>
          <w:kern w:val="2"/>
          <w:sz w:val="24"/>
          <w:szCs w:val="24"/>
          <w:lang w:val="en-US" w:eastAsia="en-US" w:bidi="ar-SA"/>
          <w14:ligatures w14:val="standardContextual"/>
        </w:rPr>
      </w:pPr>
      <w:hyperlink w:anchor="_Toc214456778" w:history="1">
        <w:r w:rsidRPr="004460C9">
          <w:rPr>
            <w:rStyle w:val="Hyperlink"/>
            <w:noProof/>
          </w:rPr>
          <w:t>Azure Managed Redis</w:t>
        </w:r>
        <w:r>
          <w:rPr>
            <w:noProof/>
            <w:webHidden/>
          </w:rPr>
          <w:tab/>
        </w:r>
        <w:r>
          <w:rPr>
            <w:noProof/>
            <w:webHidden/>
          </w:rPr>
          <w:fldChar w:fldCharType="begin"/>
        </w:r>
        <w:r>
          <w:rPr>
            <w:noProof/>
            <w:webHidden/>
          </w:rPr>
          <w:instrText xml:space="preserve"> PAGEREF _Toc214456778 \h </w:instrText>
        </w:r>
        <w:r>
          <w:rPr>
            <w:noProof/>
            <w:webHidden/>
          </w:rPr>
        </w:r>
        <w:r>
          <w:rPr>
            <w:noProof/>
            <w:webHidden/>
          </w:rPr>
          <w:fldChar w:fldCharType="separate"/>
        </w:r>
        <w:r>
          <w:rPr>
            <w:noProof/>
            <w:webHidden/>
          </w:rPr>
          <w:t>33</w:t>
        </w:r>
        <w:r>
          <w:rPr>
            <w:noProof/>
            <w:webHidden/>
          </w:rPr>
          <w:fldChar w:fldCharType="end"/>
        </w:r>
      </w:hyperlink>
    </w:p>
    <w:p w14:paraId="73D7079B" w14:textId="7D35C173" w:rsidR="001A7EE4" w:rsidRDefault="001A7EE4">
      <w:pPr>
        <w:pStyle w:val="TOC4"/>
        <w:rPr>
          <w:rFonts w:eastAsiaTheme="minorEastAsia"/>
          <w:smallCaps w:val="0"/>
          <w:noProof/>
          <w:kern w:val="2"/>
          <w:sz w:val="24"/>
          <w:szCs w:val="24"/>
          <w:lang w:val="en-US" w:eastAsia="en-US" w:bidi="ar-SA"/>
          <w14:ligatures w14:val="standardContextual"/>
        </w:rPr>
      </w:pPr>
      <w:hyperlink w:anchor="_Toc214456779" w:history="1">
        <w:r w:rsidRPr="004460C9">
          <w:rPr>
            <w:rStyle w:val="Hyperlink"/>
            <w:noProof/>
          </w:rPr>
          <w:t>Azure Chaos Studio</w:t>
        </w:r>
        <w:r>
          <w:rPr>
            <w:noProof/>
            <w:webHidden/>
          </w:rPr>
          <w:tab/>
        </w:r>
        <w:r>
          <w:rPr>
            <w:noProof/>
            <w:webHidden/>
          </w:rPr>
          <w:fldChar w:fldCharType="begin"/>
        </w:r>
        <w:r>
          <w:rPr>
            <w:noProof/>
            <w:webHidden/>
          </w:rPr>
          <w:instrText xml:space="preserve"> PAGEREF _Toc214456779 \h </w:instrText>
        </w:r>
        <w:r>
          <w:rPr>
            <w:noProof/>
            <w:webHidden/>
          </w:rPr>
        </w:r>
        <w:r>
          <w:rPr>
            <w:noProof/>
            <w:webHidden/>
          </w:rPr>
          <w:fldChar w:fldCharType="separate"/>
        </w:r>
        <w:r>
          <w:rPr>
            <w:noProof/>
            <w:webHidden/>
          </w:rPr>
          <w:t>34</w:t>
        </w:r>
        <w:r>
          <w:rPr>
            <w:noProof/>
            <w:webHidden/>
          </w:rPr>
          <w:fldChar w:fldCharType="end"/>
        </w:r>
      </w:hyperlink>
    </w:p>
    <w:p w14:paraId="1B4BC48A" w14:textId="71BAEED2" w:rsidR="001A7EE4" w:rsidRDefault="001A7EE4">
      <w:pPr>
        <w:pStyle w:val="TOC4"/>
        <w:rPr>
          <w:rFonts w:eastAsiaTheme="minorEastAsia"/>
          <w:smallCaps w:val="0"/>
          <w:noProof/>
          <w:kern w:val="2"/>
          <w:sz w:val="24"/>
          <w:szCs w:val="24"/>
          <w:lang w:val="en-US" w:eastAsia="en-US" w:bidi="ar-SA"/>
          <w14:ligatures w14:val="standardContextual"/>
        </w:rPr>
      </w:pPr>
      <w:hyperlink w:anchor="_Toc214456780" w:history="1">
        <w:r w:rsidRPr="004460C9">
          <w:rPr>
            <w:rStyle w:val="Hyperlink"/>
            <w:rFonts w:ascii="Calibri Light" w:hAnsi="Calibri Light" w:cs="Calibri Light"/>
            <w:noProof/>
          </w:rPr>
          <w:t>Cloud MSH do Azure</w:t>
        </w:r>
        <w:r>
          <w:rPr>
            <w:noProof/>
            <w:webHidden/>
          </w:rPr>
          <w:tab/>
        </w:r>
        <w:r>
          <w:rPr>
            <w:noProof/>
            <w:webHidden/>
          </w:rPr>
          <w:fldChar w:fldCharType="begin"/>
        </w:r>
        <w:r>
          <w:rPr>
            <w:noProof/>
            <w:webHidden/>
          </w:rPr>
          <w:instrText xml:space="preserve"> PAGEREF _Toc214456780 \h </w:instrText>
        </w:r>
        <w:r>
          <w:rPr>
            <w:noProof/>
            <w:webHidden/>
          </w:rPr>
        </w:r>
        <w:r>
          <w:rPr>
            <w:noProof/>
            <w:webHidden/>
          </w:rPr>
          <w:fldChar w:fldCharType="separate"/>
        </w:r>
        <w:r>
          <w:rPr>
            <w:noProof/>
            <w:webHidden/>
          </w:rPr>
          <w:t>34</w:t>
        </w:r>
        <w:r>
          <w:rPr>
            <w:noProof/>
            <w:webHidden/>
          </w:rPr>
          <w:fldChar w:fldCharType="end"/>
        </w:r>
      </w:hyperlink>
    </w:p>
    <w:p w14:paraId="44BFA618" w14:textId="6F567A59" w:rsidR="001A7EE4" w:rsidRDefault="001A7EE4">
      <w:pPr>
        <w:pStyle w:val="TOC4"/>
        <w:rPr>
          <w:rFonts w:eastAsiaTheme="minorEastAsia"/>
          <w:smallCaps w:val="0"/>
          <w:noProof/>
          <w:kern w:val="2"/>
          <w:sz w:val="24"/>
          <w:szCs w:val="24"/>
          <w:lang w:val="en-US" w:eastAsia="en-US" w:bidi="ar-SA"/>
          <w14:ligatures w14:val="standardContextual"/>
        </w:rPr>
      </w:pPr>
      <w:hyperlink w:anchor="_Toc214456781" w:history="1">
        <w:r w:rsidRPr="004460C9">
          <w:rPr>
            <w:rStyle w:val="Hyperlink"/>
            <w:noProof/>
          </w:rPr>
          <w:t>Serviços em Nuvem</w:t>
        </w:r>
        <w:r>
          <w:rPr>
            <w:noProof/>
            <w:webHidden/>
          </w:rPr>
          <w:tab/>
        </w:r>
        <w:r>
          <w:rPr>
            <w:noProof/>
            <w:webHidden/>
          </w:rPr>
          <w:fldChar w:fldCharType="begin"/>
        </w:r>
        <w:r>
          <w:rPr>
            <w:noProof/>
            <w:webHidden/>
          </w:rPr>
          <w:instrText xml:space="preserve"> PAGEREF _Toc214456781 \h </w:instrText>
        </w:r>
        <w:r>
          <w:rPr>
            <w:noProof/>
            <w:webHidden/>
          </w:rPr>
        </w:r>
        <w:r>
          <w:rPr>
            <w:noProof/>
            <w:webHidden/>
          </w:rPr>
          <w:fldChar w:fldCharType="separate"/>
        </w:r>
        <w:r>
          <w:rPr>
            <w:noProof/>
            <w:webHidden/>
          </w:rPr>
          <w:t>35</w:t>
        </w:r>
        <w:r>
          <w:rPr>
            <w:noProof/>
            <w:webHidden/>
          </w:rPr>
          <w:fldChar w:fldCharType="end"/>
        </w:r>
      </w:hyperlink>
    </w:p>
    <w:p w14:paraId="0753B6E5" w14:textId="24910B8D" w:rsidR="001A7EE4" w:rsidRDefault="001A7EE4">
      <w:pPr>
        <w:pStyle w:val="TOC4"/>
        <w:rPr>
          <w:rFonts w:eastAsiaTheme="minorEastAsia"/>
          <w:smallCaps w:val="0"/>
          <w:noProof/>
          <w:kern w:val="2"/>
          <w:sz w:val="24"/>
          <w:szCs w:val="24"/>
          <w:lang w:val="en-US" w:eastAsia="en-US" w:bidi="ar-SA"/>
          <w14:ligatures w14:val="standardContextual"/>
        </w:rPr>
      </w:pPr>
      <w:hyperlink w:anchor="_Toc214456782" w:history="1">
        <w:r w:rsidRPr="004460C9">
          <w:rPr>
            <w:rStyle w:val="Hyperlink"/>
            <w:noProof/>
          </w:rPr>
          <w:t>Azure AI Search</w:t>
        </w:r>
        <w:r>
          <w:rPr>
            <w:noProof/>
            <w:webHidden/>
          </w:rPr>
          <w:tab/>
        </w:r>
        <w:r>
          <w:rPr>
            <w:noProof/>
            <w:webHidden/>
          </w:rPr>
          <w:fldChar w:fldCharType="begin"/>
        </w:r>
        <w:r>
          <w:rPr>
            <w:noProof/>
            <w:webHidden/>
          </w:rPr>
          <w:instrText xml:space="preserve"> PAGEREF _Toc214456782 \h </w:instrText>
        </w:r>
        <w:r>
          <w:rPr>
            <w:noProof/>
            <w:webHidden/>
          </w:rPr>
        </w:r>
        <w:r>
          <w:rPr>
            <w:noProof/>
            <w:webHidden/>
          </w:rPr>
          <w:fldChar w:fldCharType="separate"/>
        </w:r>
        <w:r>
          <w:rPr>
            <w:noProof/>
            <w:webHidden/>
          </w:rPr>
          <w:t>35</w:t>
        </w:r>
        <w:r>
          <w:rPr>
            <w:noProof/>
            <w:webHidden/>
          </w:rPr>
          <w:fldChar w:fldCharType="end"/>
        </w:r>
      </w:hyperlink>
    </w:p>
    <w:p w14:paraId="319C304E" w14:textId="7F7F4271" w:rsidR="001A7EE4" w:rsidRDefault="001A7EE4">
      <w:pPr>
        <w:pStyle w:val="TOC4"/>
        <w:rPr>
          <w:rFonts w:eastAsiaTheme="minorEastAsia"/>
          <w:smallCaps w:val="0"/>
          <w:noProof/>
          <w:kern w:val="2"/>
          <w:sz w:val="24"/>
          <w:szCs w:val="24"/>
          <w:lang w:val="en-US" w:eastAsia="en-US" w:bidi="ar-SA"/>
          <w14:ligatures w14:val="standardContextual"/>
        </w:rPr>
      </w:pPr>
      <w:hyperlink w:anchor="_Toc214456783" w:history="1">
        <w:r w:rsidRPr="004460C9">
          <w:rPr>
            <w:rStyle w:val="Hyperlink"/>
            <w:noProof/>
          </w:rPr>
          <w:t xml:space="preserve">Serviços </w:t>
        </w:r>
        <w:r w:rsidRPr="004460C9">
          <w:rPr>
            <w:rStyle w:val="Hyperlink"/>
            <w:rFonts w:ascii="Calibri Light" w:hAnsi="Calibri Light" w:cs="Calibri Light"/>
            <w:noProof/>
          </w:rPr>
          <w:t xml:space="preserve">de IA do </w:t>
        </w:r>
        <w:r w:rsidRPr="004460C9">
          <w:rPr>
            <w:rStyle w:val="Hyperlink"/>
            <w:noProof/>
          </w:rPr>
          <w:t>Azure</w:t>
        </w:r>
        <w:r>
          <w:rPr>
            <w:noProof/>
            <w:webHidden/>
          </w:rPr>
          <w:tab/>
        </w:r>
        <w:r>
          <w:rPr>
            <w:noProof/>
            <w:webHidden/>
          </w:rPr>
          <w:fldChar w:fldCharType="begin"/>
        </w:r>
        <w:r>
          <w:rPr>
            <w:noProof/>
            <w:webHidden/>
          </w:rPr>
          <w:instrText xml:space="preserve"> PAGEREF _Toc214456783 \h </w:instrText>
        </w:r>
        <w:r>
          <w:rPr>
            <w:noProof/>
            <w:webHidden/>
          </w:rPr>
        </w:r>
        <w:r>
          <w:rPr>
            <w:noProof/>
            <w:webHidden/>
          </w:rPr>
          <w:fldChar w:fldCharType="separate"/>
        </w:r>
        <w:r>
          <w:rPr>
            <w:noProof/>
            <w:webHidden/>
          </w:rPr>
          <w:t>36</w:t>
        </w:r>
        <w:r>
          <w:rPr>
            <w:noProof/>
            <w:webHidden/>
          </w:rPr>
          <w:fldChar w:fldCharType="end"/>
        </w:r>
      </w:hyperlink>
    </w:p>
    <w:p w14:paraId="4FF5F441" w14:textId="317D06BA" w:rsidR="001A7EE4" w:rsidRDefault="001A7EE4">
      <w:pPr>
        <w:pStyle w:val="TOC4"/>
        <w:rPr>
          <w:rFonts w:eastAsiaTheme="minorEastAsia"/>
          <w:smallCaps w:val="0"/>
          <w:noProof/>
          <w:kern w:val="2"/>
          <w:sz w:val="24"/>
          <w:szCs w:val="24"/>
          <w:lang w:val="en-US" w:eastAsia="en-US" w:bidi="ar-SA"/>
          <w14:ligatures w14:val="standardContextual"/>
        </w:rPr>
      </w:pPr>
      <w:hyperlink w:anchor="_Toc214456784" w:history="1">
        <w:r w:rsidRPr="004460C9">
          <w:rPr>
            <w:rStyle w:val="Hyperlink"/>
            <w:noProof/>
          </w:rPr>
          <w:t>Azure Communication Gateway</w:t>
        </w:r>
        <w:r>
          <w:rPr>
            <w:noProof/>
            <w:webHidden/>
          </w:rPr>
          <w:tab/>
        </w:r>
        <w:r>
          <w:rPr>
            <w:noProof/>
            <w:webHidden/>
          </w:rPr>
          <w:fldChar w:fldCharType="begin"/>
        </w:r>
        <w:r>
          <w:rPr>
            <w:noProof/>
            <w:webHidden/>
          </w:rPr>
          <w:instrText xml:space="preserve"> PAGEREF _Toc214456784 \h </w:instrText>
        </w:r>
        <w:r>
          <w:rPr>
            <w:noProof/>
            <w:webHidden/>
          </w:rPr>
        </w:r>
        <w:r>
          <w:rPr>
            <w:noProof/>
            <w:webHidden/>
          </w:rPr>
          <w:fldChar w:fldCharType="separate"/>
        </w:r>
        <w:r>
          <w:rPr>
            <w:noProof/>
            <w:webHidden/>
          </w:rPr>
          <w:t>36</w:t>
        </w:r>
        <w:r>
          <w:rPr>
            <w:noProof/>
            <w:webHidden/>
          </w:rPr>
          <w:fldChar w:fldCharType="end"/>
        </w:r>
      </w:hyperlink>
    </w:p>
    <w:p w14:paraId="29A84C3D" w14:textId="23A57EF8" w:rsidR="001A7EE4" w:rsidRDefault="001A7EE4">
      <w:pPr>
        <w:pStyle w:val="TOC4"/>
        <w:rPr>
          <w:rFonts w:eastAsiaTheme="minorEastAsia"/>
          <w:smallCaps w:val="0"/>
          <w:noProof/>
          <w:kern w:val="2"/>
          <w:sz w:val="24"/>
          <w:szCs w:val="24"/>
          <w:lang w:val="en-US" w:eastAsia="en-US" w:bidi="ar-SA"/>
          <w14:ligatures w14:val="standardContextual"/>
        </w:rPr>
      </w:pPr>
      <w:hyperlink w:anchor="_Toc214456785" w:history="1">
        <w:r w:rsidRPr="004460C9">
          <w:rPr>
            <w:rStyle w:val="Hyperlink"/>
            <w:noProof/>
          </w:rPr>
          <w:t>Azure Communication Services</w:t>
        </w:r>
        <w:r>
          <w:rPr>
            <w:noProof/>
            <w:webHidden/>
          </w:rPr>
          <w:tab/>
        </w:r>
        <w:r>
          <w:rPr>
            <w:noProof/>
            <w:webHidden/>
          </w:rPr>
          <w:fldChar w:fldCharType="begin"/>
        </w:r>
        <w:r>
          <w:rPr>
            <w:noProof/>
            <w:webHidden/>
          </w:rPr>
          <w:instrText xml:space="preserve"> PAGEREF _Toc214456785 \h </w:instrText>
        </w:r>
        <w:r>
          <w:rPr>
            <w:noProof/>
            <w:webHidden/>
          </w:rPr>
        </w:r>
        <w:r>
          <w:rPr>
            <w:noProof/>
            <w:webHidden/>
          </w:rPr>
          <w:fldChar w:fldCharType="separate"/>
        </w:r>
        <w:r>
          <w:rPr>
            <w:noProof/>
            <w:webHidden/>
          </w:rPr>
          <w:t>37</w:t>
        </w:r>
        <w:r>
          <w:rPr>
            <w:noProof/>
            <w:webHidden/>
          </w:rPr>
          <w:fldChar w:fldCharType="end"/>
        </w:r>
      </w:hyperlink>
    </w:p>
    <w:p w14:paraId="388185D8" w14:textId="13E95CD6" w:rsidR="001A7EE4" w:rsidRDefault="001A7EE4">
      <w:pPr>
        <w:pStyle w:val="TOC4"/>
        <w:rPr>
          <w:rFonts w:eastAsiaTheme="minorEastAsia"/>
          <w:smallCaps w:val="0"/>
          <w:noProof/>
          <w:kern w:val="2"/>
          <w:sz w:val="24"/>
          <w:szCs w:val="24"/>
          <w:lang w:val="en-US" w:eastAsia="en-US" w:bidi="ar-SA"/>
          <w14:ligatures w14:val="standardContextual"/>
        </w:rPr>
      </w:pPr>
      <w:hyperlink w:anchor="_Toc214456786" w:history="1">
        <w:r w:rsidRPr="004460C9">
          <w:rPr>
            <w:rStyle w:val="Hyperlink"/>
            <w:noProof/>
          </w:rPr>
          <w:t>Azure Confidential Ledger</w:t>
        </w:r>
        <w:r>
          <w:rPr>
            <w:noProof/>
            <w:webHidden/>
          </w:rPr>
          <w:tab/>
        </w:r>
        <w:r>
          <w:rPr>
            <w:noProof/>
            <w:webHidden/>
          </w:rPr>
          <w:fldChar w:fldCharType="begin"/>
        </w:r>
        <w:r>
          <w:rPr>
            <w:noProof/>
            <w:webHidden/>
          </w:rPr>
          <w:instrText xml:space="preserve"> PAGEREF _Toc214456786 \h </w:instrText>
        </w:r>
        <w:r>
          <w:rPr>
            <w:noProof/>
            <w:webHidden/>
          </w:rPr>
        </w:r>
        <w:r>
          <w:rPr>
            <w:noProof/>
            <w:webHidden/>
          </w:rPr>
          <w:fldChar w:fldCharType="separate"/>
        </w:r>
        <w:r>
          <w:rPr>
            <w:noProof/>
            <w:webHidden/>
          </w:rPr>
          <w:t>37</w:t>
        </w:r>
        <w:r>
          <w:rPr>
            <w:noProof/>
            <w:webHidden/>
          </w:rPr>
          <w:fldChar w:fldCharType="end"/>
        </w:r>
      </w:hyperlink>
    </w:p>
    <w:p w14:paraId="5BF88676" w14:textId="32D533D0" w:rsidR="001A7EE4" w:rsidRDefault="001A7EE4">
      <w:pPr>
        <w:pStyle w:val="TOC4"/>
        <w:rPr>
          <w:rFonts w:eastAsiaTheme="minorEastAsia"/>
          <w:smallCaps w:val="0"/>
          <w:noProof/>
          <w:kern w:val="2"/>
          <w:sz w:val="24"/>
          <w:szCs w:val="24"/>
          <w:lang w:val="en-US" w:eastAsia="en-US" w:bidi="ar-SA"/>
          <w14:ligatures w14:val="standardContextual"/>
        </w:rPr>
      </w:pPr>
      <w:hyperlink w:anchor="_Toc214456787" w:history="1">
        <w:r w:rsidRPr="004460C9">
          <w:rPr>
            <w:rStyle w:val="Hyperlink"/>
            <w:noProof/>
          </w:rPr>
          <w:t>Azure Container Apps</w:t>
        </w:r>
        <w:r>
          <w:rPr>
            <w:noProof/>
            <w:webHidden/>
          </w:rPr>
          <w:tab/>
        </w:r>
        <w:r>
          <w:rPr>
            <w:noProof/>
            <w:webHidden/>
          </w:rPr>
          <w:fldChar w:fldCharType="begin"/>
        </w:r>
        <w:r>
          <w:rPr>
            <w:noProof/>
            <w:webHidden/>
          </w:rPr>
          <w:instrText xml:space="preserve"> PAGEREF _Toc214456787 \h </w:instrText>
        </w:r>
        <w:r>
          <w:rPr>
            <w:noProof/>
            <w:webHidden/>
          </w:rPr>
        </w:r>
        <w:r>
          <w:rPr>
            <w:noProof/>
            <w:webHidden/>
          </w:rPr>
          <w:fldChar w:fldCharType="separate"/>
        </w:r>
        <w:r>
          <w:rPr>
            <w:noProof/>
            <w:webHidden/>
          </w:rPr>
          <w:t>38</w:t>
        </w:r>
        <w:r>
          <w:rPr>
            <w:noProof/>
            <w:webHidden/>
          </w:rPr>
          <w:fldChar w:fldCharType="end"/>
        </w:r>
      </w:hyperlink>
    </w:p>
    <w:p w14:paraId="684B3249" w14:textId="5EA22B93" w:rsidR="001A7EE4" w:rsidRDefault="001A7EE4">
      <w:pPr>
        <w:pStyle w:val="TOC4"/>
        <w:rPr>
          <w:rFonts w:eastAsiaTheme="minorEastAsia"/>
          <w:smallCaps w:val="0"/>
          <w:noProof/>
          <w:kern w:val="2"/>
          <w:sz w:val="24"/>
          <w:szCs w:val="24"/>
          <w:lang w:val="en-US" w:eastAsia="en-US" w:bidi="ar-SA"/>
          <w14:ligatures w14:val="standardContextual"/>
        </w:rPr>
      </w:pPr>
      <w:hyperlink w:anchor="_Toc214456788" w:history="1">
        <w:r w:rsidRPr="004460C9">
          <w:rPr>
            <w:rStyle w:val="Hyperlink"/>
            <w:noProof/>
          </w:rPr>
          <w:t>Azure Container Instances</w:t>
        </w:r>
        <w:r>
          <w:rPr>
            <w:noProof/>
            <w:webHidden/>
          </w:rPr>
          <w:tab/>
        </w:r>
        <w:r>
          <w:rPr>
            <w:noProof/>
            <w:webHidden/>
          </w:rPr>
          <w:fldChar w:fldCharType="begin"/>
        </w:r>
        <w:r>
          <w:rPr>
            <w:noProof/>
            <w:webHidden/>
          </w:rPr>
          <w:instrText xml:space="preserve"> PAGEREF _Toc214456788 \h </w:instrText>
        </w:r>
        <w:r>
          <w:rPr>
            <w:noProof/>
            <w:webHidden/>
          </w:rPr>
        </w:r>
        <w:r>
          <w:rPr>
            <w:noProof/>
            <w:webHidden/>
          </w:rPr>
          <w:fldChar w:fldCharType="separate"/>
        </w:r>
        <w:r>
          <w:rPr>
            <w:noProof/>
            <w:webHidden/>
          </w:rPr>
          <w:t>38</w:t>
        </w:r>
        <w:r>
          <w:rPr>
            <w:noProof/>
            <w:webHidden/>
          </w:rPr>
          <w:fldChar w:fldCharType="end"/>
        </w:r>
      </w:hyperlink>
    </w:p>
    <w:p w14:paraId="27D4F70F" w14:textId="40575AE7" w:rsidR="001A7EE4" w:rsidRDefault="001A7EE4">
      <w:pPr>
        <w:pStyle w:val="TOC4"/>
        <w:rPr>
          <w:rFonts w:eastAsiaTheme="minorEastAsia"/>
          <w:smallCaps w:val="0"/>
          <w:noProof/>
          <w:kern w:val="2"/>
          <w:sz w:val="24"/>
          <w:szCs w:val="24"/>
          <w:lang w:val="en-US" w:eastAsia="en-US" w:bidi="ar-SA"/>
          <w14:ligatures w14:val="standardContextual"/>
        </w:rPr>
      </w:pPr>
      <w:hyperlink w:anchor="_Toc214456789" w:history="1">
        <w:r w:rsidRPr="004460C9">
          <w:rPr>
            <w:rStyle w:val="Hyperlink"/>
            <w:noProof/>
          </w:rPr>
          <w:t>Azure Container Registry</w:t>
        </w:r>
        <w:r>
          <w:rPr>
            <w:noProof/>
            <w:webHidden/>
          </w:rPr>
          <w:tab/>
        </w:r>
        <w:r>
          <w:rPr>
            <w:noProof/>
            <w:webHidden/>
          </w:rPr>
          <w:fldChar w:fldCharType="begin"/>
        </w:r>
        <w:r>
          <w:rPr>
            <w:noProof/>
            <w:webHidden/>
          </w:rPr>
          <w:instrText xml:space="preserve"> PAGEREF _Toc214456789 \h </w:instrText>
        </w:r>
        <w:r>
          <w:rPr>
            <w:noProof/>
            <w:webHidden/>
          </w:rPr>
        </w:r>
        <w:r>
          <w:rPr>
            <w:noProof/>
            <w:webHidden/>
          </w:rPr>
          <w:fldChar w:fldCharType="separate"/>
        </w:r>
        <w:r>
          <w:rPr>
            <w:noProof/>
            <w:webHidden/>
          </w:rPr>
          <w:t>38</w:t>
        </w:r>
        <w:r>
          <w:rPr>
            <w:noProof/>
            <w:webHidden/>
          </w:rPr>
          <w:fldChar w:fldCharType="end"/>
        </w:r>
      </w:hyperlink>
    </w:p>
    <w:p w14:paraId="3016BA70" w14:textId="2E9B4ED7" w:rsidR="001A7EE4" w:rsidRDefault="001A7EE4">
      <w:pPr>
        <w:pStyle w:val="TOC4"/>
        <w:rPr>
          <w:rFonts w:eastAsiaTheme="minorEastAsia"/>
          <w:smallCaps w:val="0"/>
          <w:noProof/>
          <w:kern w:val="2"/>
          <w:sz w:val="24"/>
          <w:szCs w:val="24"/>
          <w:lang w:val="en-US" w:eastAsia="en-US" w:bidi="ar-SA"/>
          <w14:ligatures w14:val="standardContextual"/>
        </w:rPr>
      </w:pPr>
      <w:hyperlink w:anchor="_Toc214456790" w:history="1">
        <w:r w:rsidRPr="004460C9">
          <w:rPr>
            <w:rStyle w:val="Hyperlink"/>
            <w:noProof/>
          </w:rPr>
          <w:t>Rede de Distribuição de Conteúdos (CDN)</w:t>
        </w:r>
        <w:r>
          <w:rPr>
            <w:noProof/>
            <w:webHidden/>
          </w:rPr>
          <w:tab/>
        </w:r>
        <w:r>
          <w:rPr>
            <w:noProof/>
            <w:webHidden/>
          </w:rPr>
          <w:fldChar w:fldCharType="begin"/>
        </w:r>
        <w:r>
          <w:rPr>
            <w:noProof/>
            <w:webHidden/>
          </w:rPr>
          <w:instrText xml:space="preserve"> PAGEREF _Toc214456790 \h </w:instrText>
        </w:r>
        <w:r>
          <w:rPr>
            <w:noProof/>
            <w:webHidden/>
          </w:rPr>
        </w:r>
        <w:r>
          <w:rPr>
            <w:noProof/>
            <w:webHidden/>
          </w:rPr>
          <w:fldChar w:fldCharType="separate"/>
        </w:r>
        <w:r>
          <w:rPr>
            <w:noProof/>
            <w:webHidden/>
          </w:rPr>
          <w:t>39</w:t>
        </w:r>
        <w:r>
          <w:rPr>
            <w:noProof/>
            <w:webHidden/>
          </w:rPr>
          <w:fldChar w:fldCharType="end"/>
        </w:r>
      </w:hyperlink>
    </w:p>
    <w:p w14:paraId="72FB392B" w14:textId="1BFE9336" w:rsidR="001A7EE4" w:rsidRDefault="001A7EE4">
      <w:pPr>
        <w:pStyle w:val="TOC4"/>
        <w:rPr>
          <w:rFonts w:eastAsiaTheme="minorEastAsia"/>
          <w:smallCaps w:val="0"/>
          <w:noProof/>
          <w:kern w:val="2"/>
          <w:sz w:val="24"/>
          <w:szCs w:val="24"/>
          <w:lang w:val="en-US" w:eastAsia="en-US" w:bidi="ar-SA"/>
          <w14:ligatures w14:val="standardContextual"/>
        </w:rPr>
      </w:pPr>
      <w:hyperlink w:anchor="_Toc214456791" w:history="1">
        <w:r w:rsidRPr="004460C9">
          <w:rPr>
            <w:rStyle w:val="Hyperlink"/>
            <w:noProof/>
          </w:rPr>
          <w:t>Azure Cosmos DB</w:t>
        </w:r>
        <w:r>
          <w:rPr>
            <w:noProof/>
            <w:webHidden/>
          </w:rPr>
          <w:tab/>
        </w:r>
        <w:r>
          <w:rPr>
            <w:noProof/>
            <w:webHidden/>
          </w:rPr>
          <w:fldChar w:fldCharType="begin"/>
        </w:r>
        <w:r>
          <w:rPr>
            <w:noProof/>
            <w:webHidden/>
          </w:rPr>
          <w:instrText xml:space="preserve"> PAGEREF _Toc214456791 \h </w:instrText>
        </w:r>
        <w:r>
          <w:rPr>
            <w:noProof/>
            <w:webHidden/>
          </w:rPr>
        </w:r>
        <w:r>
          <w:rPr>
            <w:noProof/>
            <w:webHidden/>
          </w:rPr>
          <w:fldChar w:fldCharType="separate"/>
        </w:r>
        <w:r>
          <w:rPr>
            <w:noProof/>
            <w:webHidden/>
          </w:rPr>
          <w:t>39</w:t>
        </w:r>
        <w:r>
          <w:rPr>
            <w:noProof/>
            <w:webHidden/>
          </w:rPr>
          <w:fldChar w:fldCharType="end"/>
        </w:r>
      </w:hyperlink>
    </w:p>
    <w:p w14:paraId="2ACD28B3" w14:textId="24C93621" w:rsidR="001A7EE4" w:rsidRDefault="001A7EE4">
      <w:pPr>
        <w:pStyle w:val="TOC4"/>
        <w:rPr>
          <w:rFonts w:eastAsiaTheme="minorEastAsia"/>
          <w:smallCaps w:val="0"/>
          <w:noProof/>
          <w:kern w:val="2"/>
          <w:sz w:val="24"/>
          <w:szCs w:val="24"/>
          <w:lang w:val="en-US" w:eastAsia="en-US" w:bidi="ar-SA"/>
          <w14:ligatures w14:val="standardContextual"/>
        </w:rPr>
      </w:pPr>
      <w:hyperlink w:anchor="_Toc214456792" w:history="1">
        <w:r w:rsidRPr="004460C9">
          <w:rPr>
            <w:rStyle w:val="Hyperlink"/>
            <w:noProof/>
          </w:rPr>
          <w:t>Catálogo de Dados</w:t>
        </w:r>
        <w:r>
          <w:rPr>
            <w:noProof/>
            <w:webHidden/>
          </w:rPr>
          <w:tab/>
        </w:r>
        <w:r>
          <w:rPr>
            <w:noProof/>
            <w:webHidden/>
          </w:rPr>
          <w:fldChar w:fldCharType="begin"/>
        </w:r>
        <w:r>
          <w:rPr>
            <w:noProof/>
            <w:webHidden/>
          </w:rPr>
          <w:instrText xml:space="preserve"> PAGEREF _Toc214456792 \h </w:instrText>
        </w:r>
        <w:r>
          <w:rPr>
            <w:noProof/>
            <w:webHidden/>
          </w:rPr>
        </w:r>
        <w:r>
          <w:rPr>
            <w:noProof/>
            <w:webHidden/>
          </w:rPr>
          <w:fldChar w:fldCharType="separate"/>
        </w:r>
        <w:r>
          <w:rPr>
            <w:noProof/>
            <w:webHidden/>
          </w:rPr>
          <w:t>43</w:t>
        </w:r>
        <w:r>
          <w:rPr>
            <w:noProof/>
            <w:webHidden/>
          </w:rPr>
          <w:fldChar w:fldCharType="end"/>
        </w:r>
      </w:hyperlink>
    </w:p>
    <w:p w14:paraId="1B9F1B18" w14:textId="4CC44584" w:rsidR="001A7EE4" w:rsidRDefault="001A7EE4">
      <w:pPr>
        <w:pStyle w:val="TOC4"/>
        <w:rPr>
          <w:rFonts w:eastAsiaTheme="minorEastAsia"/>
          <w:smallCaps w:val="0"/>
          <w:noProof/>
          <w:kern w:val="2"/>
          <w:sz w:val="24"/>
          <w:szCs w:val="24"/>
          <w:lang w:val="en-US" w:eastAsia="en-US" w:bidi="ar-SA"/>
          <w14:ligatures w14:val="standardContextual"/>
        </w:rPr>
      </w:pPr>
      <w:hyperlink w:anchor="_Toc214456793" w:history="1">
        <w:r w:rsidRPr="004460C9">
          <w:rPr>
            <w:rStyle w:val="Hyperlink"/>
            <w:noProof/>
          </w:rPr>
          <w:t>Azure Data Explorer (Kusto)</w:t>
        </w:r>
        <w:r>
          <w:rPr>
            <w:noProof/>
            <w:webHidden/>
          </w:rPr>
          <w:tab/>
        </w:r>
        <w:r>
          <w:rPr>
            <w:noProof/>
            <w:webHidden/>
          </w:rPr>
          <w:fldChar w:fldCharType="begin"/>
        </w:r>
        <w:r>
          <w:rPr>
            <w:noProof/>
            <w:webHidden/>
          </w:rPr>
          <w:instrText xml:space="preserve"> PAGEREF _Toc214456793 \h </w:instrText>
        </w:r>
        <w:r>
          <w:rPr>
            <w:noProof/>
            <w:webHidden/>
          </w:rPr>
        </w:r>
        <w:r>
          <w:rPr>
            <w:noProof/>
            <w:webHidden/>
          </w:rPr>
          <w:fldChar w:fldCharType="separate"/>
        </w:r>
        <w:r>
          <w:rPr>
            <w:noProof/>
            <w:webHidden/>
          </w:rPr>
          <w:t>43</w:t>
        </w:r>
        <w:r>
          <w:rPr>
            <w:noProof/>
            <w:webHidden/>
          </w:rPr>
          <w:fldChar w:fldCharType="end"/>
        </w:r>
      </w:hyperlink>
    </w:p>
    <w:p w14:paraId="41DF26CF" w14:textId="76D71D54" w:rsidR="001A7EE4" w:rsidRDefault="001A7EE4">
      <w:pPr>
        <w:pStyle w:val="TOC4"/>
        <w:rPr>
          <w:rFonts w:eastAsiaTheme="minorEastAsia"/>
          <w:smallCaps w:val="0"/>
          <w:noProof/>
          <w:kern w:val="2"/>
          <w:sz w:val="24"/>
          <w:szCs w:val="24"/>
          <w:lang w:val="en-US" w:eastAsia="en-US" w:bidi="ar-SA"/>
          <w14:ligatures w14:val="standardContextual"/>
        </w:rPr>
      </w:pPr>
      <w:hyperlink w:anchor="_Toc214456794" w:history="1">
        <w:r w:rsidRPr="004460C9">
          <w:rPr>
            <w:rStyle w:val="Hyperlink"/>
            <w:noProof/>
          </w:rPr>
          <w:t>Azure Data Factory</w:t>
        </w:r>
        <w:r>
          <w:rPr>
            <w:noProof/>
            <w:webHidden/>
          </w:rPr>
          <w:tab/>
        </w:r>
        <w:r>
          <w:rPr>
            <w:noProof/>
            <w:webHidden/>
          </w:rPr>
          <w:fldChar w:fldCharType="begin"/>
        </w:r>
        <w:r>
          <w:rPr>
            <w:noProof/>
            <w:webHidden/>
          </w:rPr>
          <w:instrText xml:space="preserve"> PAGEREF _Toc214456794 \h </w:instrText>
        </w:r>
        <w:r>
          <w:rPr>
            <w:noProof/>
            <w:webHidden/>
          </w:rPr>
        </w:r>
        <w:r>
          <w:rPr>
            <w:noProof/>
            <w:webHidden/>
          </w:rPr>
          <w:fldChar w:fldCharType="separate"/>
        </w:r>
        <w:r>
          <w:rPr>
            <w:noProof/>
            <w:webHidden/>
          </w:rPr>
          <w:t>44</w:t>
        </w:r>
        <w:r>
          <w:rPr>
            <w:noProof/>
            <w:webHidden/>
          </w:rPr>
          <w:fldChar w:fldCharType="end"/>
        </w:r>
      </w:hyperlink>
    </w:p>
    <w:p w14:paraId="28E0AACB" w14:textId="7FC7C174" w:rsidR="001A7EE4" w:rsidRDefault="001A7EE4">
      <w:pPr>
        <w:pStyle w:val="TOC4"/>
        <w:rPr>
          <w:rFonts w:eastAsiaTheme="minorEastAsia"/>
          <w:smallCaps w:val="0"/>
          <w:noProof/>
          <w:kern w:val="2"/>
          <w:sz w:val="24"/>
          <w:szCs w:val="24"/>
          <w:lang w:val="en-US" w:eastAsia="en-US" w:bidi="ar-SA"/>
          <w14:ligatures w14:val="standardContextual"/>
        </w:rPr>
      </w:pPr>
      <w:hyperlink w:anchor="_Toc214456795" w:history="1">
        <w:r w:rsidRPr="004460C9">
          <w:rPr>
            <w:rStyle w:val="Hyperlink"/>
            <w:noProof/>
          </w:rPr>
          <w:t>Data Lake Analytics</w:t>
        </w:r>
        <w:r>
          <w:rPr>
            <w:noProof/>
            <w:webHidden/>
          </w:rPr>
          <w:tab/>
        </w:r>
        <w:r>
          <w:rPr>
            <w:noProof/>
            <w:webHidden/>
          </w:rPr>
          <w:fldChar w:fldCharType="begin"/>
        </w:r>
        <w:r>
          <w:rPr>
            <w:noProof/>
            <w:webHidden/>
          </w:rPr>
          <w:instrText xml:space="preserve"> PAGEREF _Toc214456795 \h </w:instrText>
        </w:r>
        <w:r>
          <w:rPr>
            <w:noProof/>
            <w:webHidden/>
          </w:rPr>
        </w:r>
        <w:r>
          <w:rPr>
            <w:noProof/>
            <w:webHidden/>
          </w:rPr>
          <w:fldChar w:fldCharType="separate"/>
        </w:r>
        <w:r>
          <w:rPr>
            <w:noProof/>
            <w:webHidden/>
          </w:rPr>
          <w:t>45</w:t>
        </w:r>
        <w:r>
          <w:rPr>
            <w:noProof/>
            <w:webHidden/>
          </w:rPr>
          <w:fldChar w:fldCharType="end"/>
        </w:r>
      </w:hyperlink>
    </w:p>
    <w:p w14:paraId="4E04EE2F" w14:textId="42065BAE" w:rsidR="001A7EE4" w:rsidRDefault="001A7EE4">
      <w:pPr>
        <w:pStyle w:val="TOC4"/>
        <w:rPr>
          <w:rFonts w:eastAsiaTheme="minorEastAsia"/>
          <w:smallCaps w:val="0"/>
          <w:noProof/>
          <w:kern w:val="2"/>
          <w:sz w:val="24"/>
          <w:szCs w:val="24"/>
          <w:lang w:val="en-US" w:eastAsia="en-US" w:bidi="ar-SA"/>
          <w14:ligatures w14:val="standardContextual"/>
        </w:rPr>
      </w:pPr>
      <w:hyperlink w:anchor="_Toc214456796" w:history="1">
        <w:r w:rsidRPr="004460C9">
          <w:rPr>
            <w:rStyle w:val="Hyperlink"/>
            <w:noProof/>
          </w:rPr>
          <w:t>Data Lake Storage Gen1</w:t>
        </w:r>
        <w:r>
          <w:rPr>
            <w:noProof/>
            <w:webHidden/>
          </w:rPr>
          <w:tab/>
        </w:r>
        <w:r>
          <w:rPr>
            <w:noProof/>
            <w:webHidden/>
          </w:rPr>
          <w:fldChar w:fldCharType="begin"/>
        </w:r>
        <w:r>
          <w:rPr>
            <w:noProof/>
            <w:webHidden/>
          </w:rPr>
          <w:instrText xml:space="preserve"> PAGEREF _Toc214456796 \h </w:instrText>
        </w:r>
        <w:r>
          <w:rPr>
            <w:noProof/>
            <w:webHidden/>
          </w:rPr>
        </w:r>
        <w:r>
          <w:rPr>
            <w:noProof/>
            <w:webHidden/>
          </w:rPr>
          <w:fldChar w:fldCharType="separate"/>
        </w:r>
        <w:r>
          <w:rPr>
            <w:noProof/>
            <w:webHidden/>
          </w:rPr>
          <w:t>45</w:t>
        </w:r>
        <w:r>
          <w:rPr>
            <w:noProof/>
            <w:webHidden/>
          </w:rPr>
          <w:fldChar w:fldCharType="end"/>
        </w:r>
      </w:hyperlink>
    </w:p>
    <w:p w14:paraId="2E326302" w14:textId="2EA6D836" w:rsidR="001A7EE4" w:rsidRDefault="001A7EE4">
      <w:pPr>
        <w:pStyle w:val="TOC4"/>
        <w:rPr>
          <w:rFonts w:eastAsiaTheme="minorEastAsia"/>
          <w:smallCaps w:val="0"/>
          <w:noProof/>
          <w:kern w:val="2"/>
          <w:sz w:val="24"/>
          <w:szCs w:val="24"/>
          <w:lang w:val="en-US" w:eastAsia="en-US" w:bidi="ar-SA"/>
          <w14:ligatures w14:val="standardContextual"/>
        </w:rPr>
      </w:pPr>
      <w:hyperlink w:anchor="_Toc214456797" w:history="1">
        <w:r w:rsidRPr="004460C9">
          <w:rPr>
            <w:rStyle w:val="Hyperlink"/>
            <w:noProof/>
          </w:rPr>
          <w:t>Azure Database for MariaDB</w:t>
        </w:r>
        <w:r>
          <w:rPr>
            <w:noProof/>
            <w:webHidden/>
          </w:rPr>
          <w:tab/>
        </w:r>
        <w:r>
          <w:rPr>
            <w:noProof/>
            <w:webHidden/>
          </w:rPr>
          <w:fldChar w:fldCharType="begin"/>
        </w:r>
        <w:r>
          <w:rPr>
            <w:noProof/>
            <w:webHidden/>
          </w:rPr>
          <w:instrText xml:space="preserve"> PAGEREF _Toc214456797 \h </w:instrText>
        </w:r>
        <w:r>
          <w:rPr>
            <w:noProof/>
            <w:webHidden/>
          </w:rPr>
        </w:r>
        <w:r>
          <w:rPr>
            <w:noProof/>
            <w:webHidden/>
          </w:rPr>
          <w:fldChar w:fldCharType="separate"/>
        </w:r>
        <w:r>
          <w:rPr>
            <w:noProof/>
            <w:webHidden/>
          </w:rPr>
          <w:t>45</w:t>
        </w:r>
        <w:r>
          <w:rPr>
            <w:noProof/>
            <w:webHidden/>
          </w:rPr>
          <w:fldChar w:fldCharType="end"/>
        </w:r>
      </w:hyperlink>
    </w:p>
    <w:p w14:paraId="5E0D06B6" w14:textId="0364E5C6" w:rsidR="001A7EE4" w:rsidRDefault="001A7EE4">
      <w:pPr>
        <w:pStyle w:val="TOC4"/>
        <w:rPr>
          <w:rFonts w:eastAsiaTheme="minorEastAsia"/>
          <w:smallCaps w:val="0"/>
          <w:noProof/>
          <w:kern w:val="2"/>
          <w:sz w:val="24"/>
          <w:szCs w:val="24"/>
          <w:lang w:val="en-US" w:eastAsia="en-US" w:bidi="ar-SA"/>
          <w14:ligatures w14:val="standardContextual"/>
        </w:rPr>
      </w:pPr>
      <w:hyperlink w:anchor="_Toc214456798" w:history="1">
        <w:r w:rsidRPr="004460C9">
          <w:rPr>
            <w:rStyle w:val="Hyperlink"/>
            <w:noProof/>
          </w:rPr>
          <w:t>Base de Dados do Azure para MySQL</w:t>
        </w:r>
        <w:r>
          <w:rPr>
            <w:noProof/>
            <w:webHidden/>
          </w:rPr>
          <w:tab/>
        </w:r>
        <w:r>
          <w:rPr>
            <w:noProof/>
            <w:webHidden/>
          </w:rPr>
          <w:fldChar w:fldCharType="begin"/>
        </w:r>
        <w:r>
          <w:rPr>
            <w:noProof/>
            <w:webHidden/>
          </w:rPr>
          <w:instrText xml:space="preserve"> PAGEREF _Toc214456798 \h </w:instrText>
        </w:r>
        <w:r>
          <w:rPr>
            <w:noProof/>
            <w:webHidden/>
          </w:rPr>
        </w:r>
        <w:r>
          <w:rPr>
            <w:noProof/>
            <w:webHidden/>
          </w:rPr>
          <w:fldChar w:fldCharType="separate"/>
        </w:r>
        <w:r>
          <w:rPr>
            <w:noProof/>
            <w:webHidden/>
          </w:rPr>
          <w:t>46</w:t>
        </w:r>
        <w:r>
          <w:rPr>
            <w:noProof/>
            <w:webHidden/>
          </w:rPr>
          <w:fldChar w:fldCharType="end"/>
        </w:r>
      </w:hyperlink>
    </w:p>
    <w:p w14:paraId="34C75CCB" w14:textId="4892B88B" w:rsidR="001A7EE4" w:rsidRDefault="001A7EE4">
      <w:pPr>
        <w:pStyle w:val="TOC4"/>
        <w:rPr>
          <w:rFonts w:eastAsiaTheme="minorEastAsia"/>
          <w:smallCaps w:val="0"/>
          <w:noProof/>
          <w:kern w:val="2"/>
          <w:sz w:val="24"/>
          <w:szCs w:val="24"/>
          <w:lang w:val="en-US" w:eastAsia="en-US" w:bidi="ar-SA"/>
          <w14:ligatures w14:val="standardContextual"/>
        </w:rPr>
      </w:pPr>
      <w:hyperlink w:anchor="_Toc214456799" w:history="1">
        <w:r w:rsidRPr="004460C9">
          <w:rPr>
            <w:rStyle w:val="Hyperlink"/>
            <w:noProof/>
          </w:rPr>
          <w:t>Base de Dados do Azure para PostgreSQL</w:t>
        </w:r>
        <w:r>
          <w:rPr>
            <w:noProof/>
            <w:webHidden/>
          </w:rPr>
          <w:tab/>
        </w:r>
        <w:r>
          <w:rPr>
            <w:noProof/>
            <w:webHidden/>
          </w:rPr>
          <w:fldChar w:fldCharType="begin"/>
        </w:r>
        <w:r>
          <w:rPr>
            <w:noProof/>
            <w:webHidden/>
          </w:rPr>
          <w:instrText xml:space="preserve"> PAGEREF _Toc214456799 \h </w:instrText>
        </w:r>
        <w:r>
          <w:rPr>
            <w:noProof/>
            <w:webHidden/>
          </w:rPr>
        </w:r>
        <w:r>
          <w:rPr>
            <w:noProof/>
            <w:webHidden/>
          </w:rPr>
          <w:fldChar w:fldCharType="separate"/>
        </w:r>
        <w:r>
          <w:rPr>
            <w:noProof/>
            <w:webHidden/>
          </w:rPr>
          <w:t>47</w:t>
        </w:r>
        <w:r>
          <w:rPr>
            <w:noProof/>
            <w:webHidden/>
          </w:rPr>
          <w:fldChar w:fldCharType="end"/>
        </w:r>
      </w:hyperlink>
    </w:p>
    <w:p w14:paraId="5F3FA811" w14:textId="0D032E19" w:rsidR="001A7EE4" w:rsidRDefault="001A7EE4">
      <w:pPr>
        <w:pStyle w:val="TOC4"/>
        <w:rPr>
          <w:rFonts w:eastAsiaTheme="minorEastAsia"/>
          <w:smallCaps w:val="0"/>
          <w:noProof/>
          <w:kern w:val="2"/>
          <w:sz w:val="24"/>
          <w:szCs w:val="24"/>
          <w:lang w:val="en-US" w:eastAsia="en-US" w:bidi="ar-SA"/>
          <w14:ligatures w14:val="standardContextual"/>
        </w:rPr>
      </w:pPr>
      <w:hyperlink w:anchor="_Toc214456800" w:history="1">
        <w:r w:rsidRPr="004460C9">
          <w:rPr>
            <w:rStyle w:val="Hyperlink"/>
            <w:noProof/>
          </w:rPr>
          <w:t>Azure Databricks</w:t>
        </w:r>
        <w:r>
          <w:rPr>
            <w:noProof/>
            <w:webHidden/>
          </w:rPr>
          <w:tab/>
        </w:r>
        <w:r>
          <w:rPr>
            <w:noProof/>
            <w:webHidden/>
          </w:rPr>
          <w:fldChar w:fldCharType="begin"/>
        </w:r>
        <w:r>
          <w:rPr>
            <w:noProof/>
            <w:webHidden/>
          </w:rPr>
          <w:instrText xml:space="preserve"> PAGEREF _Toc214456800 \h </w:instrText>
        </w:r>
        <w:r>
          <w:rPr>
            <w:noProof/>
            <w:webHidden/>
          </w:rPr>
        </w:r>
        <w:r>
          <w:rPr>
            <w:noProof/>
            <w:webHidden/>
          </w:rPr>
          <w:fldChar w:fldCharType="separate"/>
        </w:r>
        <w:r>
          <w:rPr>
            <w:noProof/>
            <w:webHidden/>
          </w:rPr>
          <w:t>48</w:t>
        </w:r>
        <w:r>
          <w:rPr>
            <w:noProof/>
            <w:webHidden/>
          </w:rPr>
          <w:fldChar w:fldCharType="end"/>
        </w:r>
      </w:hyperlink>
    </w:p>
    <w:p w14:paraId="281F8997" w14:textId="41B97BED" w:rsidR="001A7EE4" w:rsidRDefault="001A7EE4">
      <w:pPr>
        <w:pStyle w:val="TOC4"/>
        <w:rPr>
          <w:rFonts w:eastAsiaTheme="minorEastAsia"/>
          <w:smallCaps w:val="0"/>
          <w:noProof/>
          <w:kern w:val="2"/>
          <w:sz w:val="24"/>
          <w:szCs w:val="24"/>
          <w:lang w:val="en-US" w:eastAsia="en-US" w:bidi="ar-SA"/>
          <w14:ligatures w14:val="standardContextual"/>
        </w:rPr>
      </w:pPr>
      <w:hyperlink w:anchor="_Toc214456801" w:history="1">
        <w:r w:rsidRPr="004460C9">
          <w:rPr>
            <w:rStyle w:val="Hyperlink"/>
            <w:noProof/>
          </w:rPr>
          <w:t>Gestor de Dados para Energia do Microsoft Azure</w:t>
        </w:r>
        <w:r>
          <w:rPr>
            <w:noProof/>
            <w:webHidden/>
          </w:rPr>
          <w:tab/>
        </w:r>
        <w:r>
          <w:rPr>
            <w:noProof/>
            <w:webHidden/>
          </w:rPr>
          <w:fldChar w:fldCharType="begin"/>
        </w:r>
        <w:r>
          <w:rPr>
            <w:noProof/>
            <w:webHidden/>
          </w:rPr>
          <w:instrText xml:space="preserve"> PAGEREF _Toc214456801 \h </w:instrText>
        </w:r>
        <w:r>
          <w:rPr>
            <w:noProof/>
            <w:webHidden/>
          </w:rPr>
        </w:r>
        <w:r>
          <w:rPr>
            <w:noProof/>
            <w:webHidden/>
          </w:rPr>
          <w:fldChar w:fldCharType="separate"/>
        </w:r>
        <w:r>
          <w:rPr>
            <w:noProof/>
            <w:webHidden/>
          </w:rPr>
          <w:t>49</w:t>
        </w:r>
        <w:r>
          <w:rPr>
            <w:noProof/>
            <w:webHidden/>
          </w:rPr>
          <w:fldChar w:fldCharType="end"/>
        </w:r>
      </w:hyperlink>
    </w:p>
    <w:p w14:paraId="5CEE3188" w14:textId="78298E8E" w:rsidR="001A7EE4" w:rsidRDefault="001A7EE4">
      <w:pPr>
        <w:pStyle w:val="TOC4"/>
        <w:rPr>
          <w:rFonts w:eastAsiaTheme="minorEastAsia"/>
          <w:smallCaps w:val="0"/>
          <w:noProof/>
          <w:kern w:val="2"/>
          <w:sz w:val="24"/>
          <w:szCs w:val="24"/>
          <w:lang w:val="en-US" w:eastAsia="en-US" w:bidi="ar-SA"/>
          <w14:ligatures w14:val="standardContextual"/>
        </w:rPr>
      </w:pPr>
      <w:hyperlink w:anchor="_Toc214456802" w:history="1">
        <w:r w:rsidRPr="004460C9">
          <w:rPr>
            <w:rStyle w:val="Hyperlink"/>
            <w:noProof/>
          </w:rPr>
          <w:t>Azure DDoS Protection</w:t>
        </w:r>
        <w:r>
          <w:rPr>
            <w:noProof/>
            <w:webHidden/>
          </w:rPr>
          <w:tab/>
        </w:r>
        <w:r>
          <w:rPr>
            <w:noProof/>
            <w:webHidden/>
          </w:rPr>
          <w:fldChar w:fldCharType="begin"/>
        </w:r>
        <w:r>
          <w:rPr>
            <w:noProof/>
            <w:webHidden/>
          </w:rPr>
          <w:instrText xml:space="preserve"> PAGEREF _Toc214456802 \h </w:instrText>
        </w:r>
        <w:r>
          <w:rPr>
            <w:noProof/>
            <w:webHidden/>
          </w:rPr>
        </w:r>
        <w:r>
          <w:rPr>
            <w:noProof/>
            <w:webHidden/>
          </w:rPr>
          <w:fldChar w:fldCharType="separate"/>
        </w:r>
        <w:r>
          <w:rPr>
            <w:noProof/>
            <w:webHidden/>
          </w:rPr>
          <w:t>49</w:t>
        </w:r>
        <w:r>
          <w:rPr>
            <w:noProof/>
            <w:webHidden/>
          </w:rPr>
          <w:fldChar w:fldCharType="end"/>
        </w:r>
      </w:hyperlink>
    </w:p>
    <w:p w14:paraId="38EF19C7" w14:textId="05E17D3C" w:rsidR="001A7EE4" w:rsidRDefault="001A7EE4">
      <w:pPr>
        <w:pStyle w:val="TOC4"/>
        <w:rPr>
          <w:rFonts w:eastAsiaTheme="minorEastAsia"/>
          <w:smallCaps w:val="0"/>
          <w:noProof/>
          <w:kern w:val="2"/>
          <w:sz w:val="24"/>
          <w:szCs w:val="24"/>
          <w:lang w:val="en-US" w:eastAsia="en-US" w:bidi="ar-SA"/>
          <w14:ligatures w14:val="standardContextual"/>
        </w:rPr>
      </w:pPr>
      <w:hyperlink w:anchor="_Toc214456803" w:history="1">
        <w:r w:rsidRPr="004460C9">
          <w:rPr>
            <w:rStyle w:val="Hyperlink"/>
            <w:noProof/>
          </w:rPr>
          <w:t>Azure Defender</w:t>
        </w:r>
        <w:r>
          <w:rPr>
            <w:noProof/>
            <w:webHidden/>
          </w:rPr>
          <w:tab/>
        </w:r>
        <w:r>
          <w:rPr>
            <w:noProof/>
            <w:webHidden/>
          </w:rPr>
          <w:fldChar w:fldCharType="begin"/>
        </w:r>
        <w:r>
          <w:rPr>
            <w:noProof/>
            <w:webHidden/>
          </w:rPr>
          <w:instrText xml:space="preserve"> PAGEREF _Toc214456803 \h </w:instrText>
        </w:r>
        <w:r>
          <w:rPr>
            <w:noProof/>
            <w:webHidden/>
          </w:rPr>
        </w:r>
        <w:r>
          <w:rPr>
            <w:noProof/>
            <w:webHidden/>
          </w:rPr>
          <w:fldChar w:fldCharType="separate"/>
        </w:r>
        <w:r>
          <w:rPr>
            <w:noProof/>
            <w:webHidden/>
          </w:rPr>
          <w:t>49</w:t>
        </w:r>
        <w:r>
          <w:rPr>
            <w:noProof/>
            <w:webHidden/>
          </w:rPr>
          <w:fldChar w:fldCharType="end"/>
        </w:r>
      </w:hyperlink>
    </w:p>
    <w:p w14:paraId="47BCCC4C" w14:textId="03E648DD" w:rsidR="001A7EE4" w:rsidRDefault="001A7EE4">
      <w:pPr>
        <w:pStyle w:val="TOC4"/>
        <w:rPr>
          <w:rFonts w:eastAsiaTheme="minorEastAsia"/>
          <w:smallCaps w:val="0"/>
          <w:noProof/>
          <w:kern w:val="2"/>
          <w:sz w:val="24"/>
          <w:szCs w:val="24"/>
          <w:lang w:val="en-US" w:eastAsia="en-US" w:bidi="ar-SA"/>
          <w14:ligatures w14:val="standardContextual"/>
        </w:rPr>
      </w:pPr>
      <w:hyperlink w:anchor="_Toc214456804" w:history="1">
        <w:r w:rsidRPr="004460C9">
          <w:rPr>
            <w:rStyle w:val="Hyperlink"/>
            <w:noProof/>
          </w:rPr>
          <w:t>Defender External Attack Surface Management</w:t>
        </w:r>
        <w:r>
          <w:rPr>
            <w:noProof/>
            <w:webHidden/>
          </w:rPr>
          <w:tab/>
        </w:r>
        <w:r>
          <w:rPr>
            <w:noProof/>
            <w:webHidden/>
          </w:rPr>
          <w:fldChar w:fldCharType="begin"/>
        </w:r>
        <w:r>
          <w:rPr>
            <w:noProof/>
            <w:webHidden/>
          </w:rPr>
          <w:instrText xml:space="preserve"> PAGEREF _Toc214456804 \h </w:instrText>
        </w:r>
        <w:r>
          <w:rPr>
            <w:noProof/>
            <w:webHidden/>
          </w:rPr>
        </w:r>
        <w:r>
          <w:rPr>
            <w:noProof/>
            <w:webHidden/>
          </w:rPr>
          <w:fldChar w:fldCharType="separate"/>
        </w:r>
        <w:r>
          <w:rPr>
            <w:noProof/>
            <w:webHidden/>
          </w:rPr>
          <w:t>50</w:t>
        </w:r>
        <w:r>
          <w:rPr>
            <w:noProof/>
            <w:webHidden/>
          </w:rPr>
          <w:fldChar w:fldCharType="end"/>
        </w:r>
      </w:hyperlink>
    </w:p>
    <w:p w14:paraId="30F653C1" w14:textId="1549A2CE" w:rsidR="001A7EE4" w:rsidRDefault="001A7EE4">
      <w:pPr>
        <w:pStyle w:val="TOC4"/>
        <w:rPr>
          <w:rFonts w:eastAsiaTheme="minorEastAsia"/>
          <w:smallCaps w:val="0"/>
          <w:noProof/>
          <w:kern w:val="2"/>
          <w:sz w:val="24"/>
          <w:szCs w:val="24"/>
          <w:lang w:val="en-US" w:eastAsia="en-US" w:bidi="ar-SA"/>
          <w14:ligatures w14:val="standardContextual"/>
        </w:rPr>
      </w:pPr>
      <w:hyperlink w:anchor="_Toc214456805" w:history="1">
        <w:r w:rsidRPr="004460C9">
          <w:rPr>
            <w:rStyle w:val="Hyperlink"/>
            <w:noProof/>
          </w:rPr>
          <w:t>Azure Dev Ops</w:t>
        </w:r>
        <w:r>
          <w:rPr>
            <w:noProof/>
            <w:webHidden/>
          </w:rPr>
          <w:tab/>
        </w:r>
        <w:r>
          <w:rPr>
            <w:noProof/>
            <w:webHidden/>
          </w:rPr>
          <w:fldChar w:fldCharType="begin"/>
        </w:r>
        <w:r>
          <w:rPr>
            <w:noProof/>
            <w:webHidden/>
          </w:rPr>
          <w:instrText xml:space="preserve"> PAGEREF _Toc214456805 \h </w:instrText>
        </w:r>
        <w:r>
          <w:rPr>
            <w:noProof/>
            <w:webHidden/>
          </w:rPr>
        </w:r>
        <w:r>
          <w:rPr>
            <w:noProof/>
            <w:webHidden/>
          </w:rPr>
          <w:fldChar w:fldCharType="separate"/>
        </w:r>
        <w:r>
          <w:rPr>
            <w:noProof/>
            <w:webHidden/>
          </w:rPr>
          <w:t>50</w:t>
        </w:r>
        <w:r>
          <w:rPr>
            <w:noProof/>
            <w:webHidden/>
          </w:rPr>
          <w:fldChar w:fldCharType="end"/>
        </w:r>
      </w:hyperlink>
    </w:p>
    <w:p w14:paraId="74F7EC46" w14:textId="63D2016C" w:rsidR="001A7EE4" w:rsidRDefault="001A7EE4">
      <w:pPr>
        <w:pStyle w:val="TOC4"/>
        <w:rPr>
          <w:rFonts w:eastAsiaTheme="minorEastAsia"/>
          <w:smallCaps w:val="0"/>
          <w:noProof/>
          <w:kern w:val="2"/>
          <w:sz w:val="24"/>
          <w:szCs w:val="24"/>
          <w:lang w:val="en-US" w:eastAsia="en-US" w:bidi="ar-SA"/>
          <w14:ligatures w14:val="standardContextual"/>
        </w:rPr>
      </w:pPr>
      <w:hyperlink w:anchor="_Toc214456806" w:history="1">
        <w:r w:rsidRPr="004460C9">
          <w:rPr>
            <w:rStyle w:val="Hyperlink"/>
            <w:noProof/>
          </w:rPr>
          <w:t>Microsoft Dev Box</w:t>
        </w:r>
        <w:r>
          <w:rPr>
            <w:noProof/>
            <w:webHidden/>
          </w:rPr>
          <w:tab/>
        </w:r>
        <w:r>
          <w:rPr>
            <w:noProof/>
            <w:webHidden/>
          </w:rPr>
          <w:fldChar w:fldCharType="begin"/>
        </w:r>
        <w:r>
          <w:rPr>
            <w:noProof/>
            <w:webHidden/>
          </w:rPr>
          <w:instrText xml:space="preserve"> PAGEREF _Toc214456806 \h </w:instrText>
        </w:r>
        <w:r>
          <w:rPr>
            <w:noProof/>
            <w:webHidden/>
          </w:rPr>
        </w:r>
        <w:r>
          <w:rPr>
            <w:noProof/>
            <w:webHidden/>
          </w:rPr>
          <w:fldChar w:fldCharType="separate"/>
        </w:r>
        <w:r>
          <w:rPr>
            <w:noProof/>
            <w:webHidden/>
          </w:rPr>
          <w:t>51</w:t>
        </w:r>
        <w:r>
          <w:rPr>
            <w:noProof/>
            <w:webHidden/>
          </w:rPr>
          <w:fldChar w:fldCharType="end"/>
        </w:r>
      </w:hyperlink>
    </w:p>
    <w:p w14:paraId="66303F79" w14:textId="6F0767C2" w:rsidR="001A7EE4" w:rsidRDefault="001A7EE4">
      <w:pPr>
        <w:pStyle w:val="TOC4"/>
        <w:rPr>
          <w:rFonts w:eastAsiaTheme="minorEastAsia"/>
          <w:smallCaps w:val="0"/>
          <w:noProof/>
          <w:kern w:val="2"/>
          <w:sz w:val="24"/>
          <w:szCs w:val="24"/>
          <w:lang w:val="en-US" w:eastAsia="en-US" w:bidi="ar-SA"/>
          <w14:ligatures w14:val="standardContextual"/>
        </w:rPr>
      </w:pPr>
      <w:hyperlink w:anchor="_Toc214456807" w:history="1">
        <w:r w:rsidRPr="004460C9">
          <w:rPr>
            <w:rStyle w:val="Hyperlink"/>
            <w:noProof/>
          </w:rPr>
          <w:t>Azure Digital Twins</w:t>
        </w:r>
        <w:r>
          <w:rPr>
            <w:noProof/>
            <w:webHidden/>
          </w:rPr>
          <w:tab/>
        </w:r>
        <w:r>
          <w:rPr>
            <w:noProof/>
            <w:webHidden/>
          </w:rPr>
          <w:fldChar w:fldCharType="begin"/>
        </w:r>
        <w:r>
          <w:rPr>
            <w:noProof/>
            <w:webHidden/>
          </w:rPr>
          <w:instrText xml:space="preserve"> PAGEREF _Toc214456807 \h </w:instrText>
        </w:r>
        <w:r>
          <w:rPr>
            <w:noProof/>
            <w:webHidden/>
          </w:rPr>
        </w:r>
        <w:r>
          <w:rPr>
            <w:noProof/>
            <w:webHidden/>
          </w:rPr>
          <w:fldChar w:fldCharType="separate"/>
        </w:r>
        <w:r>
          <w:rPr>
            <w:noProof/>
            <w:webHidden/>
          </w:rPr>
          <w:t>52</w:t>
        </w:r>
        <w:r>
          <w:rPr>
            <w:noProof/>
            <w:webHidden/>
          </w:rPr>
          <w:fldChar w:fldCharType="end"/>
        </w:r>
      </w:hyperlink>
    </w:p>
    <w:p w14:paraId="64000382" w14:textId="3518CC68" w:rsidR="001A7EE4" w:rsidRDefault="001A7EE4">
      <w:pPr>
        <w:pStyle w:val="TOC4"/>
        <w:rPr>
          <w:rFonts w:eastAsiaTheme="minorEastAsia"/>
          <w:smallCaps w:val="0"/>
          <w:noProof/>
          <w:kern w:val="2"/>
          <w:sz w:val="24"/>
          <w:szCs w:val="24"/>
          <w:lang w:val="en-US" w:eastAsia="en-US" w:bidi="ar-SA"/>
          <w14:ligatures w14:val="standardContextual"/>
        </w:rPr>
      </w:pPr>
      <w:hyperlink w:anchor="_Toc214456808" w:history="1">
        <w:r w:rsidRPr="004460C9">
          <w:rPr>
            <w:rStyle w:val="Hyperlink"/>
            <w:noProof/>
          </w:rPr>
          <w:t>DNS do Azure</w:t>
        </w:r>
        <w:r>
          <w:rPr>
            <w:noProof/>
            <w:webHidden/>
          </w:rPr>
          <w:tab/>
        </w:r>
        <w:r>
          <w:rPr>
            <w:noProof/>
            <w:webHidden/>
          </w:rPr>
          <w:fldChar w:fldCharType="begin"/>
        </w:r>
        <w:r>
          <w:rPr>
            <w:noProof/>
            <w:webHidden/>
          </w:rPr>
          <w:instrText xml:space="preserve"> PAGEREF _Toc214456808 \h </w:instrText>
        </w:r>
        <w:r>
          <w:rPr>
            <w:noProof/>
            <w:webHidden/>
          </w:rPr>
        </w:r>
        <w:r>
          <w:rPr>
            <w:noProof/>
            <w:webHidden/>
          </w:rPr>
          <w:fldChar w:fldCharType="separate"/>
        </w:r>
        <w:r>
          <w:rPr>
            <w:noProof/>
            <w:webHidden/>
          </w:rPr>
          <w:t>52</w:t>
        </w:r>
        <w:r>
          <w:rPr>
            <w:noProof/>
            <w:webHidden/>
          </w:rPr>
          <w:fldChar w:fldCharType="end"/>
        </w:r>
      </w:hyperlink>
    </w:p>
    <w:p w14:paraId="6F938A69" w14:textId="5F57CC52" w:rsidR="001A7EE4" w:rsidRDefault="001A7EE4">
      <w:pPr>
        <w:pStyle w:val="TOC4"/>
        <w:rPr>
          <w:rFonts w:eastAsiaTheme="minorEastAsia"/>
          <w:smallCaps w:val="0"/>
          <w:noProof/>
          <w:kern w:val="2"/>
          <w:sz w:val="24"/>
          <w:szCs w:val="24"/>
          <w:lang w:val="en-US" w:eastAsia="en-US" w:bidi="ar-SA"/>
          <w14:ligatures w14:val="standardContextual"/>
        </w:rPr>
      </w:pPr>
      <w:hyperlink w:anchor="_Toc214456809" w:history="1">
        <w:r w:rsidRPr="004460C9">
          <w:rPr>
            <w:rStyle w:val="Hyperlink"/>
            <w:noProof/>
          </w:rPr>
          <w:t>Azure DNS Private Resolver</w:t>
        </w:r>
        <w:r>
          <w:rPr>
            <w:noProof/>
            <w:webHidden/>
          </w:rPr>
          <w:tab/>
        </w:r>
        <w:r>
          <w:rPr>
            <w:noProof/>
            <w:webHidden/>
          </w:rPr>
          <w:fldChar w:fldCharType="begin"/>
        </w:r>
        <w:r>
          <w:rPr>
            <w:noProof/>
            <w:webHidden/>
          </w:rPr>
          <w:instrText xml:space="preserve"> PAGEREF _Toc214456809 \h </w:instrText>
        </w:r>
        <w:r>
          <w:rPr>
            <w:noProof/>
            <w:webHidden/>
          </w:rPr>
        </w:r>
        <w:r>
          <w:rPr>
            <w:noProof/>
            <w:webHidden/>
          </w:rPr>
          <w:fldChar w:fldCharType="separate"/>
        </w:r>
        <w:r>
          <w:rPr>
            <w:noProof/>
            <w:webHidden/>
          </w:rPr>
          <w:t>53</w:t>
        </w:r>
        <w:r>
          <w:rPr>
            <w:noProof/>
            <w:webHidden/>
          </w:rPr>
          <w:fldChar w:fldCharType="end"/>
        </w:r>
      </w:hyperlink>
    </w:p>
    <w:p w14:paraId="0A31C579" w14:textId="13201157" w:rsidR="001A7EE4" w:rsidRDefault="001A7EE4">
      <w:pPr>
        <w:pStyle w:val="TOC4"/>
        <w:rPr>
          <w:rFonts w:eastAsiaTheme="minorEastAsia"/>
          <w:smallCaps w:val="0"/>
          <w:noProof/>
          <w:kern w:val="2"/>
          <w:sz w:val="24"/>
          <w:szCs w:val="24"/>
          <w:lang w:val="en-US" w:eastAsia="en-US" w:bidi="ar-SA"/>
          <w14:ligatures w14:val="standardContextual"/>
        </w:rPr>
      </w:pPr>
      <w:hyperlink w:anchor="_Toc214456810" w:history="1">
        <w:r w:rsidRPr="004460C9">
          <w:rPr>
            <w:rStyle w:val="Hyperlink"/>
            <w:noProof/>
          </w:rPr>
          <w:t>Azure DocumentDB (com compatibilidade com MongoDB)</w:t>
        </w:r>
        <w:r>
          <w:rPr>
            <w:noProof/>
            <w:webHidden/>
          </w:rPr>
          <w:tab/>
        </w:r>
        <w:r>
          <w:rPr>
            <w:noProof/>
            <w:webHidden/>
          </w:rPr>
          <w:fldChar w:fldCharType="begin"/>
        </w:r>
        <w:r>
          <w:rPr>
            <w:noProof/>
            <w:webHidden/>
          </w:rPr>
          <w:instrText xml:space="preserve"> PAGEREF _Toc214456810 \h </w:instrText>
        </w:r>
        <w:r>
          <w:rPr>
            <w:noProof/>
            <w:webHidden/>
          </w:rPr>
        </w:r>
        <w:r>
          <w:rPr>
            <w:noProof/>
            <w:webHidden/>
          </w:rPr>
          <w:fldChar w:fldCharType="separate"/>
        </w:r>
        <w:r>
          <w:rPr>
            <w:noProof/>
            <w:webHidden/>
          </w:rPr>
          <w:t>53</w:t>
        </w:r>
        <w:r>
          <w:rPr>
            <w:noProof/>
            <w:webHidden/>
          </w:rPr>
          <w:fldChar w:fldCharType="end"/>
        </w:r>
      </w:hyperlink>
    </w:p>
    <w:p w14:paraId="32717904" w14:textId="268809EA" w:rsidR="001A7EE4" w:rsidRDefault="001A7EE4">
      <w:pPr>
        <w:pStyle w:val="TOC4"/>
        <w:rPr>
          <w:rFonts w:eastAsiaTheme="minorEastAsia"/>
          <w:smallCaps w:val="0"/>
          <w:noProof/>
          <w:kern w:val="2"/>
          <w:sz w:val="24"/>
          <w:szCs w:val="24"/>
          <w:lang w:val="en-US" w:eastAsia="en-US" w:bidi="ar-SA"/>
          <w14:ligatures w14:val="standardContextual"/>
        </w:rPr>
      </w:pPr>
      <w:hyperlink w:anchor="_Toc214456811" w:history="1">
        <w:r w:rsidRPr="004460C9">
          <w:rPr>
            <w:rStyle w:val="Hyperlink"/>
            <w:noProof/>
          </w:rPr>
          <w:t>SLA Elastic San</w:t>
        </w:r>
        <w:r>
          <w:rPr>
            <w:noProof/>
            <w:webHidden/>
          </w:rPr>
          <w:tab/>
        </w:r>
        <w:r>
          <w:rPr>
            <w:noProof/>
            <w:webHidden/>
          </w:rPr>
          <w:fldChar w:fldCharType="begin"/>
        </w:r>
        <w:r>
          <w:rPr>
            <w:noProof/>
            <w:webHidden/>
          </w:rPr>
          <w:instrText xml:space="preserve"> PAGEREF _Toc214456811 \h </w:instrText>
        </w:r>
        <w:r>
          <w:rPr>
            <w:noProof/>
            <w:webHidden/>
          </w:rPr>
        </w:r>
        <w:r>
          <w:rPr>
            <w:noProof/>
            <w:webHidden/>
          </w:rPr>
          <w:fldChar w:fldCharType="separate"/>
        </w:r>
        <w:r>
          <w:rPr>
            <w:noProof/>
            <w:webHidden/>
          </w:rPr>
          <w:t>54</w:t>
        </w:r>
        <w:r>
          <w:rPr>
            <w:noProof/>
            <w:webHidden/>
          </w:rPr>
          <w:fldChar w:fldCharType="end"/>
        </w:r>
      </w:hyperlink>
    </w:p>
    <w:p w14:paraId="463C61EC" w14:textId="7A337E23" w:rsidR="001A7EE4" w:rsidRDefault="001A7EE4">
      <w:pPr>
        <w:pStyle w:val="TOC4"/>
        <w:rPr>
          <w:rFonts w:eastAsiaTheme="minorEastAsia"/>
          <w:smallCaps w:val="0"/>
          <w:noProof/>
          <w:kern w:val="2"/>
          <w:sz w:val="24"/>
          <w:szCs w:val="24"/>
          <w:lang w:val="en-US" w:eastAsia="en-US" w:bidi="ar-SA"/>
          <w14:ligatures w14:val="standardContextual"/>
        </w:rPr>
      </w:pPr>
      <w:hyperlink w:anchor="_Toc214456812" w:history="1">
        <w:r w:rsidRPr="004460C9">
          <w:rPr>
            <w:rStyle w:val="Hyperlink"/>
            <w:noProof/>
          </w:rPr>
          <w:t>Grelha de Eventos</w:t>
        </w:r>
        <w:r>
          <w:rPr>
            <w:noProof/>
            <w:webHidden/>
          </w:rPr>
          <w:tab/>
        </w:r>
        <w:r>
          <w:rPr>
            <w:noProof/>
            <w:webHidden/>
          </w:rPr>
          <w:fldChar w:fldCharType="begin"/>
        </w:r>
        <w:r>
          <w:rPr>
            <w:noProof/>
            <w:webHidden/>
          </w:rPr>
          <w:instrText xml:space="preserve"> PAGEREF _Toc214456812 \h </w:instrText>
        </w:r>
        <w:r>
          <w:rPr>
            <w:noProof/>
            <w:webHidden/>
          </w:rPr>
        </w:r>
        <w:r>
          <w:rPr>
            <w:noProof/>
            <w:webHidden/>
          </w:rPr>
          <w:fldChar w:fldCharType="separate"/>
        </w:r>
        <w:r>
          <w:rPr>
            <w:noProof/>
            <w:webHidden/>
          </w:rPr>
          <w:t>54</w:t>
        </w:r>
        <w:r>
          <w:rPr>
            <w:noProof/>
            <w:webHidden/>
          </w:rPr>
          <w:fldChar w:fldCharType="end"/>
        </w:r>
      </w:hyperlink>
    </w:p>
    <w:p w14:paraId="158581EA" w14:textId="1CCC3077" w:rsidR="001A7EE4" w:rsidRDefault="001A7EE4">
      <w:pPr>
        <w:pStyle w:val="TOC4"/>
        <w:rPr>
          <w:rFonts w:eastAsiaTheme="minorEastAsia"/>
          <w:smallCaps w:val="0"/>
          <w:noProof/>
          <w:kern w:val="2"/>
          <w:sz w:val="24"/>
          <w:szCs w:val="24"/>
          <w:lang w:val="en-US" w:eastAsia="en-US" w:bidi="ar-SA"/>
          <w14:ligatures w14:val="standardContextual"/>
        </w:rPr>
      </w:pPr>
      <w:hyperlink w:anchor="_Toc214456813" w:history="1">
        <w:r w:rsidRPr="004460C9">
          <w:rPr>
            <w:rStyle w:val="Hyperlink"/>
            <w:noProof/>
          </w:rPr>
          <w:t>Armazenamento Georredundante (GRS) – Replicação com Prioridade</w:t>
        </w:r>
        <w:r>
          <w:rPr>
            <w:noProof/>
            <w:webHidden/>
          </w:rPr>
          <w:tab/>
        </w:r>
        <w:r>
          <w:rPr>
            <w:noProof/>
            <w:webHidden/>
          </w:rPr>
          <w:fldChar w:fldCharType="begin"/>
        </w:r>
        <w:r>
          <w:rPr>
            <w:noProof/>
            <w:webHidden/>
          </w:rPr>
          <w:instrText xml:space="preserve"> PAGEREF _Toc214456813 \h </w:instrText>
        </w:r>
        <w:r>
          <w:rPr>
            <w:noProof/>
            <w:webHidden/>
          </w:rPr>
        </w:r>
        <w:r>
          <w:rPr>
            <w:noProof/>
            <w:webHidden/>
          </w:rPr>
          <w:fldChar w:fldCharType="separate"/>
        </w:r>
        <w:r>
          <w:rPr>
            <w:noProof/>
            <w:webHidden/>
          </w:rPr>
          <w:t>55</w:t>
        </w:r>
        <w:r>
          <w:rPr>
            <w:noProof/>
            <w:webHidden/>
          </w:rPr>
          <w:fldChar w:fldCharType="end"/>
        </w:r>
      </w:hyperlink>
    </w:p>
    <w:p w14:paraId="3DD5A60E" w14:textId="2B3F11C3" w:rsidR="001A7EE4" w:rsidRDefault="001A7EE4">
      <w:pPr>
        <w:pStyle w:val="TOC4"/>
        <w:rPr>
          <w:rFonts w:eastAsiaTheme="minorEastAsia"/>
          <w:smallCaps w:val="0"/>
          <w:noProof/>
          <w:kern w:val="2"/>
          <w:sz w:val="24"/>
          <w:szCs w:val="24"/>
          <w:lang w:val="en-US" w:eastAsia="en-US" w:bidi="ar-SA"/>
          <w14:ligatures w14:val="standardContextual"/>
        </w:rPr>
      </w:pPr>
      <w:hyperlink w:anchor="_Toc214456814" w:history="1">
        <w:r w:rsidRPr="004460C9">
          <w:rPr>
            <w:rStyle w:val="Hyperlink"/>
            <w:noProof/>
          </w:rPr>
          <w:t>Hubs de Eventos</w:t>
        </w:r>
        <w:r>
          <w:rPr>
            <w:noProof/>
            <w:webHidden/>
          </w:rPr>
          <w:tab/>
        </w:r>
        <w:r>
          <w:rPr>
            <w:noProof/>
            <w:webHidden/>
          </w:rPr>
          <w:fldChar w:fldCharType="begin"/>
        </w:r>
        <w:r>
          <w:rPr>
            <w:noProof/>
            <w:webHidden/>
          </w:rPr>
          <w:instrText xml:space="preserve"> PAGEREF _Toc214456814 \h </w:instrText>
        </w:r>
        <w:r>
          <w:rPr>
            <w:noProof/>
            <w:webHidden/>
          </w:rPr>
        </w:r>
        <w:r>
          <w:rPr>
            <w:noProof/>
            <w:webHidden/>
          </w:rPr>
          <w:fldChar w:fldCharType="separate"/>
        </w:r>
        <w:r>
          <w:rPr>
            <w:noProof/>
            <w:webHidden/>
          </w:rPr>
          <w:t>56</w:t>
        </w:r>
        <w:r>
          <w:rPr>
            <w:noProof/>
            <w:webHidden/>
          </w:rPr>
          <w:fldChar w:fldCharType="end"/>
        </w:r>
      </w:hyperlink>
    </w:p>
    <w:p w14:paraId="48503BD4" w14:textId="6752D43D" w:rsidR="001A7EE4" w:rsidRDefault="001A7EE4">
      <w:pPr>
        <w:pStyle w:val="TOC4"/>
        <w:rPr>
          <w:rFonts w:eastAsiaTheme="minorEastAsia"/>
          <w:smallCaps w:val="0"/>
          <w:noProof/>
          <w:kern w:val="2"/>
          <w:sz w:val="24"/>
          <w:szCs w:val="24"/>
          <w:lang w:val="en-US" w:eastAsia="en-US" w:bidi="ar-SA"/>
          <w14:ligatures w14:val="standardContextual"/>
        </w:rPr>
      </w:pPr>
      <w:hyperlink w:anchor="_Toc214456815" w:history="1">
        <w:r w:rsidRPr="004460C9">
          <w:rPr>
            <w:rStyle w:val="Hyperlink"/>
            <w:noProof/>
          </w:rPr>
          <w:t>Azure ExpressRoute</w:t>
        </w:r>
        <w:r>
          <w:rPr>
            <w:noProof/>
            <w:webHidden/>
          </w:rPr>
          <w:tab/>
        </w:r>
        <w:r>
          <w:rPr>
            <w:noProof/>
            <w:webHidden/>
          </w:rPr>
          <w:fldChar w:fldCharType="begin"/>
        </w:r>
        <w:r>
          <w:rPr>
            <w:noProof/>
            <w:webHidden/>
          </w:rPr>
          <w:instrText xml:space="preserve"> PAGEREF _Toc214456815 \h </w:instrText>
        </w:r>
        <w:r>
          <w:rPr>
            <w:noProof/>
            <w:webHidden/>
          </w:rPr>
        </w:r>
        <w:r>
          <w:rPr>
            <w:noProof/>
            <w:webHidden/>
          </w:rPr>
          <w:fldChar w:fldCharType="separate"/>
        </w:r>
        <w:r>
          <w:rPr>
            <w:noProof/>
            <w:webHidden/>
          </w:rPr>
          <w:t>56</w:t>
        </w:r>
        <w:r>
          <w:rPr>
            <w:noProof/>
            <w:webHidden/>
          </w:rPr>
          <w:fldChar w:fldCharType="end"/>
        </w:r>
      </w:hyperlink>
    </w:p>
    <w:p w14:paraId="49141E90" w14:textId="2D15F474" w:rsidR="001A7EE4" w:rsidRDefault="001A7EE4">
      <w:pPr>
        <w:pStyle w:val="TOC4"/>
        <w:rPr>
          <w:rFonts w:eastAsiaTheme="minorEastAsia"/>
          <w:smallCaps w:val="0"/>
          <w:noProof/>
          <w:kern w:val="2"/>
          <w:sz w:val="24"/>
          <w:szCs w:val="24"/>
          <w:lang w:val="en-US" w:eastAsia="en-US" w:bidi="ar-SA"/>
          <w14:ligatures w14:val="standardContextual"/>
        </w:rPr>
      </w:pPr>
      <w:hyperlink w:anchor="_Toc214456816" w:history="1">
        <w:r w:rsidRPr="004460C9">
          <w:rPr>
            <w:rStyle w:val="Hyperlink"/>
            <w:noProof/>
          </w:rPr>
          <w:t>Azure ExpressRoute Traffic Collector</w:t>
        </w:r>
        <w:r>
          <w:rPr>
            <w:noProof/>
            <w:webHidden/>
          </w:rPr>
          <w:tab/>
        </w:r>
        <w:r>
          <w:rPr>
            <w:noProof/>
            <w:webHidden/>
          </w:rPr>
          <w:fldChar w:fldCharType="begin"/>
        </w:r>
        <w:r>
          <w:rPr>
            <w:noProof/>
            <w:webHidden/>
          </w:rPr>
          <w:instrText xml:space="preserve"> PAGEREF _Toc214456816 \h </w:instrText>
        </w:r>
        <w:r>
          <w:rPr>
            <w:noProof/>
            <w:webHidden/>
          </w:rPr>
        </w:r>
        <w:r>
          <w:rPr>
            <w:noProof/>
            <w:webHidden/>
          </w:rPr>
          <w:fldChar w:fldCharType="separate"/>
        </w:r>
        <w:r>
          <w:rPr>
            <w:noProof/>
            <w:webHidden/>
          </w:rPr>
          <w:t>57</w:t>
        </w:r>
        <w:r>
          <w:rPr>
            <w:noProof/>
            <w:webHidden/>
          </w:rPr>
          <w:fldChar w:fldCharType="end"/>
        </w:r>
      </w:hyperlink>
    </w:p>
    <w:p w14:paraId="23E55F65" w14:textId="1442EC0E" w:rsidR="001A7EE4" w:rsidRDefault="001A7EE4">
      <w:pPr>
        <w:pStyle w:val="TOC4"/>
        <w:rPr>
          <w:rFonts w:eastAsiaTheme="minorEastAsia"/>
          <w:smallCaps w:val="0"/>
          <w:noProof/>
          <w:kern w:val="2"/>
          <w:sz w:val="24"/>
          <w:szCs w:val="24"/>
          <w:lang w:val="en-US" w:eastAsia="en-US" w:bidi="ar-SA"/>
          <w14:ligatures w14:val="standardContextual"/>
        </w:rPr>
      </w:pPr>
      <w:hyperlink w:anchor="_Toc214456817" w:history="1">
        <w:r w:rsidRPr="004460C9">
          <w:rPr>
            <w:rStyle w:val="Hyperlink"/>
            <w:noProof/>
          </w:rPr>
          <w:t xml:space="preserve">Camada Premium dos </w:t>
        </w:r>
        <w:r w:rsidRPr="004460C9">
          <w:rPr>
            <w:rStyle w:val="Hyperlink"/>
            <w:noProof/>
            <w:bdr w:val="none" w:sz="0" w:space="0" w:color="auto" w:frame="1"/>
          </w:rPr>
          <w:t>Ficheiros do Azure</w:t>
        </w:r>
        <w:r>
          <w:rPr>
            <w:noProof/>
            <w:webHidden/>
          </w:rPr>
          <w:tab/>
        </w:r>
        <w:r>
          <w:rPr>
            <w:noProof/>
            <w:webHidden/>
          </w:rPr>
          <w:fldChar w:fldCharType="begin"/>
        </w:r>
        <w:r>
          <w:rPr>
            <w:noProof/>
            <w:webHidden/>
          </w:rPr>
          <w:instrText xml:space="preserve"> PAGEREF _Toc214456817 \h </w:instrText>
        </w:r>
        <w:r>
          <w:rPr>
            <w:noProof/>
            <w:webHidden/>
          </w:rPr>
        </w:r>
        <w:r>
          <w:rPr>
            <w:noProof/>
            <w:webHidden/>
          </w:rPr>
          <w:fldChar w:fldCharType="separate"/>
        </w:r>
        <w:r>
          <w:rPr>
            <w:noProof/>
            <w:webHidden/>
          </w:rPr>
          <w:t>58</w:t>
        </w:r>
        <w:r>
          <w:rPr>
            <w:noProof/>
            <w:webHidden/>
          </w:rPr>
          <w:fldChar w:fldCharType="end"/>
        </w:r>
      </w:hyperlink>
    </w:p>
    <w:p w14:paraId="31895A71" w14:textId="0874B843" w:rsidR="001A7EE4" w:rsidRDefault="001A7EE4">
      <w:pPr>
        <w:pStyle w:val="TOC4"/>
        <w:rPr>
          <w:rFonts w:eastAsiaTheme="minorEastAsia"/>
          <w:smallCaps w:val="0"/>
          <w:noProof/>
          <w:kern w:val="2"/>
          <w:sz w:val="24"/>
          <w:szCs w:val="24"/>
          <w:lang w:val="en-US" w:eastAsia="en-US" w:bidi="ar-SA"/>
          <w14:ligatures w14:val="standardContextual"/>
        </w:rPr>
      </w:pPr>
      <w:hyperlink w:anchor="_Toc214456818" w:history="1">
        <w:r w:rsidRPr="004460C9">
          <w:rPr>
            <w:rStyle w:val="Hyperlink"/>
            <w:noProof/>
          </w:rPr>
          <w:t>Azure Firewall</w:t>
        </w:r>
        <w:r>
          <w:rPr>
            <w:noProof/>
            <w:webHidden/>
          </w:rPr>
          <w:tab/>
        </w:r>
        <w:r>
          <w:rPr>
            <w:noProof/>
            <w:webHidden/>
          </w:rPr>
          <w:fldChar w:fldCharType="begin"/>
        </w:r>
        <w:r>
          <w:rPr>
            <w:noProof/>
            <w:webHidden/>
          </w:rPr>
          <w:instrText xml:space="preserve"> PAGEREF _Toc214456818 \h </w:instrText>
        </w:r>
        <w:r>
          <w:rPr>
            <w:noProof/>
            <w:webHidden/>
          </w:rPr>
        </w:r>
        <w:r>
          <w:rPr>
            <w:noProof/>
            <w:webHidden/>
          </w:rPr>
          <w:fldChar w:fldCharType="separate"/>
        </w:r>
        <w:r>
          <w:rPr>
            <w:noProof/>
            <w:webHidden/>
          </w:rPr>
          <w:t>58</w:t>
        </w:r>
        <w:r>
          <w:rPr>
            <w:noProof/>
            <w:webHidden/>
          </w:rPr>
          <w:fldChar w:fldCharType="end"/>
        </w:r>
      </w:hyperlink>
    </w:p>
    <w:p w14:paraId="7D5F7617" w14:textId="69A3087A" w:rsidR="001A7EE4" w:rsidRDefault="001A7EE4">
      <w:pPr>
        <w:pStyle w:val="TOC4"/>
        <w:rPr>
          <w:rFonts w:eastAsiaTheme="minorEastAsia"/>
          <w:smallCaps w:val="0"/>
          <w:noProof/>
          <w:kern w:val="2"/>
          <w:sz w:val="24"/>
          <w:szCs w:val="24"/>
          <w:lang w:val="en-US" w:eastAsia="en-US" w:bidi="ar-SA"/>
          <w14:ligatures w14:val="standardContextual"/>
        </w:rPr>
      </w:pPr>
      <w:hyperlink w:anchor="_Toc214456819" w:history="1">
        <w:r w:rsidRPr="004460C9">
          <w:rPr>
            <w:rStyle w:val="Hyperlink"/>
            <w:noProof/>
          </w:rPr>
          <w:t>Azure Fluid Relay</w:t>
        </w:r>
        <w:r>
          <w:rPr>
            <w:noProof/>
            <w:webHidden/>
          </w:rPr>
          <w:tab/>
        </w:r>
        <w:r>
          <w:rPr>
            <w:noProof/>
            <w:webHidden/>
          </w:rPr>
          <w:fldChar w:fldCharType="begin"/>
        </w:r>
        <w:r>
          <w:rPr>
            <w:noProof/>
            <w:webHidden/>
          </w:rPr>
          <w:instrText xml:space="preserve"> PAGEREF _Toc214456819 \h </w:instrText>
        </w:r>
        <w:r>
          <w:rPr>
            <w:noProof/>
            <w:webHidden/>
          </w:rPr>
        </w:r>
        <w:r>
          <w:rPr>
            <w:noProof/>
            <w:webHidden/>
          </w:rPr>
          <w:fldChar w:fldCharType="separate"/>
        </w:r>
        <w:r>
          <w:rPr>
            <w:noProof/>
            <w:webHidden/>
          </w:rPr>
          <w:t>59</w:t>
        </w:r>
        <w:r>
          <w:rPr>
            <w:noProof/>
            <w:webHidden/>
          </w:rPr>
          <w:fldChar w:fldCharType="end"/>
        </w:r>
      </w:hyperlink>
    </w:p>
    <w:p w14:paraId="524256C7" w14:textId="5B8E1610" w:rsidR="001A7EE4" w:rsidRDefault="001A7EE4">
      <w:pPr>
        <w:pStyle w:val="TOC4"/>
        <w:rPr>
          <w:rFonts w:eastAsiaTheme="minorEastAsia"/>
          <w:smallCaps w:val="0"/>
          <w:noProof/>
          <w:kern w:val="2"/>
          <w:sz w:val="24"/>
          <w:szCs w:val="24"/>
          <w:lang w:val="en-US" w:eastAsia="en-US" w:bidi="ar-SA"/>
          <w14:ligatures w14:val="standardContextual"/>
        </w:rPr>
      </w:pPr>
      <w:hyperlink w:anchor="_Toc214456820" w:history="1">
        <w:r w:rsidRPr="004460C9">
          <w:rPr>
            <w:rStyle w:val="Hyperlink"/>
            <w:noProof/>
          </w:rPr>
          <w:t>Azure Front Door e Azure Front Door (clássico)</w:t>
        </w:r>
        <w:r>
          <w:rPr>
            <w:noProof/>
            <w:webHidden/>
          </w:rPr>
          <w:tab/>
        </w:r>
        <w:r>
          <w:rPr>
            <w:noProof/>
            <w:webHidden/>
          </w:rPr>
          <w:fldChar w:fldCharType="begin"/>
        </w:r>
        <w:r>
          <w:rPr>
            <w:noProof/>
            <w:webHidden/>
          </w:rPr>
          <w:instrText xml:space="preserve"> PAGEREF _Toc214456820 \h </w:instrText>
        </w:r>
        <w:r>
          <w:rPr>
            <w:noProof/>
            <w:webHidden/>
          </w:rPr>
        </w:r>
        <w:r>
          <w:rPr>
            <w:noProof/>
            <w:webHidden/>
          </w:rPr>
          <w:fldChar w:fldCharType="separate"/>
        </w:r>
        <w:r>
          <w:rPr>
            <w:noProof/>
            <w:webHidden/>
          </w:rPr>
          <w:t>59</w:t>
        </w:r>
        <w:r>
          <w:rPr>
            <w:noProof/>
            <w:webHidden/>
          </w:rPr>
          <w:fldChar w:fldCharType="end"/>
        </w:r>
      </w:hyperlink>
    </w:p>
    <w:p w14:paraId="5607E509" w14:textId="66DC9592" w:rsidR="001A7EE4" w:rsidRDefault="001A7EE4">
      <w:pPr>
        <w:pStyle w:val="TOC4"/>
        <w:rPr>
          <w:rFonts w:eastAsiaTheme="minorEastAsia"/>
          <w:smallCaps w:val="0"/>
          <w:noProof/>
          <w:kern w:val="2"/>
          <w:sz w:val="24"/>
          <w:szCs w:val="24"/>
          <w:lang w:val="en-US" w:eastAsia="en-US" w:bidi="ar-SA"/>
          <w14:ligatures w14:val="standardContextual"/>
        </w:rPr>
      </w:pPr>
      <w:hyperlink w:anchor="_Toc214456821" w:history="1">
        <w:r w:rsidRPr="004460C9">
          <w:rPr>
            <w:rStyle w:val="Hyperlink"/>
            <w:noProof/>
          </w:rPr>
          <w:t>Funções do Azure</w:t>
        </w:r>
        <w:r>
          <w:rPr>
            <w:noProof/>
            <w:webHidden/>
          </w:rPr>
          <w:tab/>
        </w:r>
        <w:r>
          <w:rPr>
            <w:noProof/>
            <w:webHidden/>
          </w:rPr>
          <w:fldChar w:fldCharType="begin"/>
        </w:r>
        <w:r>
          <w:rPr>
            <w:noProof/>
            <w:webHidden/>
          </w:rPr>
          <w:instrText xml:space="preserve"> PAGEREF _Toc214456821 \h </w:instrText>
        </w:r>
        <w:r>
          <w:rPr>
            <w:noProof/>
            <w:webHidden/>
          </w:rPr>
        </w:r>
        <w:r>
          <w:rPr>
            <w:noProof/>
            <w:webHidden/>
          </w:rPr>
          <w:fldChar w:fldCharType="separate"/>
        </w:r>
        <w:r>
          <w:rPr>
            <w:noProof/>
            <w:webHidden/>
          </w:rPr>
          <w:t>60</w:t>
        </w:r>
        <w:r>
          <w:rPr>
            <w:noProof/>
            <w:webHidden/>
          </w:rPr>
          <w:fldChar w:fldCharType="end"/>
        </w:r>
      </w:hyperlink>
    </w:p>
    <w:p w14:paraId="07EA74D2" w14:textId="67D64A2F" w:rsidR="001A7EE4" w:rsidRDefault="001A7EE4">
      <w:pPr>
        <w:pStyle w:val="TOC4"/>
        <w:rPr>
          <w:rFonts w:eastAsiaTheme="minorEastAsia"/>
          <w:smallCaps w:val="0"/>
          <w:noProof/>
          <w:kern w:val="2"/>
          <w:sz w:val="24"/>
          <w:szCs w:val="24"/>
          <w:lang w:val="en-US" w:eastAsia="en-US" w:bidi="ar-SA"/>
          <w14:ligatures w14:val="standardContextual"/>
        </w:rPr>
      </w:pPr>
      <w:hyperlink w:anchor="_Toc214456822" w:history="1">
        <w:r w:rsidRPr="004460C9">
          <w:rPr>
            <w:rStyle w:val="Hyperlink"/>
            <w:noProof/>
          </w:rPr>
          <w:t>Acesso Seguro Global</w:t>
        </w:r>
        <w:r>
          <w:rPr>
            <w:noProof/>
            <w:webHidden/>
          </w:rPr>
          <w:tab/>
        </w:r>
        <w:r>
          <w:rPr>
            <w:noProof/>
            <w:webHidden/>
          </w:rPr>
          <w:fldChar w:fldCharType="begin"/>
        </w:r>
        <w:r>
          <w:rPr>
            <w:noProof/>
            <w:webHidden/>
          </w:rPr>
          <w:instrText xml:space="preserve"> PAGEREF _Toc214456822 \h </w:instrText>
        </w:r>
        <w:r>
          <w:rPr>
            <w:noProof/>
            <w:webHidden/>
          </w:rPr>
        </w:r>
        <w:r>
          <w:rPr>
            <w:noProof/>
            <w:webHidden/>
          </w:rPr>
          <w:fldChar w:fldCharType="separate"/>
        </w:r>
        <w:r>
          <w:rPr>
            <w:noProof/>
            <w:webHidden/>
          </w:rPr>
          <w:t>61</w:t>
        </w:r>
        <w:r>
          <w:rPr>
            <w:noProof/>
            <w:webHidden/>
          </w:rPr>
          <w:fldChar w:fldCharType="end"/>
        </w:r>
      </w:hyperlink>
    </w:p>
    <w:p w14:paraId="48905B01" w14:textId="5820C54C" w:rsidR="001A7EE4" w:rsidRDefault="001A7EE4">
      <w:pPr>
        <w:pStyle w:val="TOC4"/>
        <w:rPr>
          <w:rFonts w:eastAsiaTheme="minorEastAsia"/>
          <w:smallCaps w:val="0"/>
          <w:noProof/>
          <w:kern w:val="2"/>
          <w:sz w:val="24"/>
          <w:szCs w:val="24"/>
          <w:lang w:val="en-US" w:eastAsia="en-US" w:bidi="ar-SA"/>
          <w14:ligatures w14:val="standardContextual"/>
        </w:rPr>
      </w:pPr>
      <w:hyperlink w:anchor="_Toc214456823" w:history="1">
        <w:r w:rsidRPr="004460C9">
          <w:rPr>
            <w:rStyle w:val="Hyperlink"/>
            <w:noProof/>
          </w:rPr>
          <w:t>HDInsight</w:t>
        </w:r>
        <w:r>
          <w:rPr>
            <w:noProof/>
            <w:webHidden/>
          </w:rPr>
          <w:tab/>
        </w:r>
        <w:r>
          <w:rPr>
            <w:noProof/>
            <w:webHidden/>
          </w:rPr>
          <w:fldChar w:fldCharType="begin"/>
        </w:r>
        <w:r>
          <w:rPr>
            <w:noProof/>
            <w:webHidden/>
          </w:rPr>
          <w:instrText xml:space="preserve"> PAGEREF _Toc214456823 \h </w:instrText>
        </w:r>
        <w:r>
          <w:rPr>
            <w:noProof/>
            <w:webHidden/>
          </w:rPr>
        </w:r>
        <w:r>
          <w:rPr>
            <w:noProof/>
            <w:webHidden/>
          </w:rPr>
          <w:fldChar w:fldCharType="separate"/>
        </w:r>
        <w:r>
          <w:rPr>
            <w:noProof/>
            <w:webHidden/>
          </w:rPr>
          <w:t>61</w:t>
        </w:r>
        <w:r>
          <w:rPr>
            <w:noProof/>
            <w:webHidden/>
          </w:rPr>
          <w:fldChar w:fldCharType="end"/>
        </w:r>
      </w:hyperlink>
    </w:p>
    <w:p w14:paraId="65001079" w14:textId="6D398003" w:rsidR="001A7EE4" w:rsidRDefault="001A7EE4">
      <w:pPr>
        <w:pStyle w:val="TOC4"/>
        <w:rPr>
          <w:rFonts w:eastAsiaTheme="minorEastAsia"/>
          <w:smallCaps w:val="0"/>
          <w:noProof/>
          <w:kern w:val="2"/>
          <w:sz w:val="24"/>
          <w:szCs w:val="24"/>
          <w:lang w:val="en-US" w:eastAsia="en-US" w:bidi="ar-SA"/>
          <w14:ligatures w14:val="standardContextual"/>
        </w:rPr>
      </w:pPr>
      <w:hyperlink w:anchor="_Toc214456824" w:history="1">
        <w:r w:rsidRPr="004460C9">
          <w:rPr>
            <w:rStyle w:val="Hyperlink"/>
            <w:noProof/>
          </w:rPr>
          <w:t>Azure Health Data Services (excluindo o Serviço MedTech)</w:t>
        </w:r>
        <w:r>
          <w:rPr>
            <w:noProof/>
            <w:webHidden/>
          </w:rPr>
          <w:tab/>
        </w:r>
        <w:r>
          <w:rPr>
            <w:noProof/>
            <w:webHidden/>
          </w:rPr>
          <w:fldChar w:fldCharType="begin"/>
        </w:r>
        <w:r>
          <w:rPr>
            <w:noProof/>
            <w:webHidden/>
          </w:rPr>
          <w:instrText xml:space="preserve"> PAGEREF _Toc214456824 \h </w:instrText>
        </w:r>
        <w:r>
          <w:rPr>
            <w:noProof/>
            <w:webHidden/>
          </w:rPr>
        </w:r>
        <w:r>
          <w:rPr>
            <w:noProof/>
            <w:webHidden/>
          </w:rPr>
          <w:fldChar w:fldCharType="separate"/>
        </w:r>
        <w:r>
          <w:rPr>
            <w:noProof/>
            <w:webHidden/>
          </w:rPr>
          <w:t>61</w:t>
        </w:r>
        <w:r>
          <w:rPr>
            <w:noProof/>
            <w:webHidden/>
          </w:rPr>
          <w:fldChar w:fldCharType="end"/>
        </w:r>
      </w:hyperlink>
    </w:p>
    <w:p w14:paraId="4E84ED5D" w14:textId="2122F37B" w:rsidR="001A7EE4" w:rsidRDefault="001A7EE4">
      <w:pPr>
        <w:pStyle w:val="TOC4"/>
        <w:rPr>
          <w:rFonts w:eastAsiaTheme="minorEastAsia"/>
          <w:smallCaps w:val="0"/>
          <w:noProof/>
          <w:kern w:val="2"/>
          <w:sz w:val="24"/>
          <w:szCs w:val="24"/>
          <w:lang w:val="en-US" w:eastAsia="en-US" w:bidi="ar-SA"/>
          <w14:ligatures w14:val="standardContextual"/>
        </w:rPr>
      </w:pPr>
      <w:hyperlink w:anchor="_Toc214456825" w:history="1">
        <w:r w:rsidRPr="004460C9">
          <w:rPr>
            <w:rStyle w:val="Hyperlink"/>
            <w:noProof/>
          </w:rPr>
          <w:t>Health Bot</w:t>
        </w:r>
        <w:r>
          <w:rPr>
            <w:noProof/>
            <w:webHidden/>
          </w:rPr>
          <w:tab/>
        </w:r>
        <w:r>
          <w:rPr>
            <w:noProof/>
            <w:webHidden/>
          </w:rPr>
          <w:fldChar w:fldCharType="begin"/>
        </w:r>
        <w:r>
          <w:rPr>
            <w:noProof/>
            <w:webHidden/>
          </w:rPr>
          <w:instrText xml:space="preserve"> PAGEREF _Toc214456825 \h </w:instrText>
        </w:r>
        <w:r>
          <w:rPr>
            <w:noProof/>
            <w:webHidden/>
          </w:rPr>
        </w:r>
        <w:r>
          <w:rPr>
            <w:noProof/>
            <w:webHidden/>
          </w:rPr>
          <w:fldChar w:fldCharType="separate"/>
        </w:r>
        <w:r>
          <w:rPr>
            <w:noProof/>
            <w:webHidden/>
          </w:rPr>
          <w:t>62</w:t>
        </w:r>
        <w:r>
          <w:rPr>
            <w:noProof/>
            <w:webHidden/>
          </w:rPr>
          <w:fldChar w:fldCharType="end"/>
        </w:r>
      </w:hyperlink>
    </w:p>
    <w:p w14:paraId="5C92E8D8" w14:textId="37148FBA" w:rsidR="001A7EE4" w:rsidRDefault="001A7EE4">
      <w:pPr>
        <w:pStyle w:val="TOC4"/>
        <w:rPr>
          <w:rFonts w:eastAsiaTheme="minorEastAsia"/>
          <w:smallCaps w:val="0"/>
          <w:noProof/>
          <w:kern w:val="2"/>
          <w:sz w:val="24"/>
          <w:szCs w:val="24"/>
          <w:lang w:val="en-US" w:eastAsia="en-US" w:bidi="ar-SA"/>
          <w14:ligatures w14:val="standardContextual"/>
        </w:rPr>
      </w:pPr>
      <w:hyperlink w:anchor="_Toc214456826" w:history="1">
        <w:r w:rsidRPr="004460C9">
          <w:rPr>
            <w:rStyle w:val="Hyperlink"/>
            <w:noProof/>
          </w:rPr>
          <w:t>Proteção de Informação do Azure</w:t>
        </w:r>
        <w:r>
          <w:rPr>
            <w:noProof/>
            <w:webHidden/>
          </w:rPr>
          <w:tab/>
        </w:r>
        <w:r>
          <w:rPr>
            <w:noProof/>
            <w:webHidden/>
          </w:rPr>
          <w:fldChar w:fldCharType="begin"/>
        </w:r>
        <w:r>
          <w:rPr>
            <w:noProof/>
            <w:webHidden/>
          </w:rPr>
          <w:instrText xml:space="preserve"> PAGEREF _Toc214456826 \h </w:instrText>
        </w:r>
        <w:r>
          <w:rPr>
            <w:noProof/>
            <w:webHidden/>
          </w:rPr>
        </w:r>
        <w:r>
          <w:rPr>
            <w:noProof/>
            <w:webHidden/>
          </w:rPr>
          <w:fldChar w:fldCharType="separate"/>
        </w:r>
        <w:r>
          <w:rPr>
            <w:noProof/>
            <w:webHidden/>
          </w:rPr>
          <w:t>62</w:t>
        </w:r>
        <w:r>
          <w:rPr>
            <w:noProof/>
            <w:webHidden/>
          </w:rPr>
          <w:fldChar w:fldCharType="end"/>
        </w:r>
      </w:hyperlink>
    </w:p>
    <w:p w14:paraId="0AFB7B11" w14:textId="1F9F8624" w:rsidR="001A7EE4" w:rsidRDefault="001A7EE4">
      <w:pPr>
        <w:pStyle w:val="TOC4"/>
        <w:rPr>
          <w:rFonts w:eastAsiaTheme="minorEastAsia"/>
          <w:smallCaps w:val="0"/>
          <w:noProof/>
          <w:kern w:val="2"/>
          <w:sz w:val="24"/>
          <w:szCs w:val="24"/>
          <w:lang w:val="en-US" w:eastAsia="en-US" w:bidi="ar-SA"/>
          <w14:ligatures w14:val="standardContextual"/>
        </w:rPr>
      </w:pPr>
      <w:hyperlink w:anchor="_Toc214456827" w:history="1">
        <w:r w:rsidRPr="004460C9">
          <w:rPr>
            <w:rStyle w:val="Hyperlink"/>
            <w:noProof/>
          </w:rPr>
          <w:t>Azure IoT Central</w:t>
        </w:r>
        <w:r>
          <w:rPr>
            <w:noProof/>
            <w:webHidden/>
          </w:rPr>
          <w:tab/>
        </w:r>
        <w:r>
          <w:rPr>
            <w:noProof/>
            <w:webHidden/>
          </w:rPr>
          <w:fldChar w:fldCharType="begin"/>
        </w:r>
        <w:r>
          <w:rPr>
            <w:noProof/>
            <w:webHidden/>
          </w:rPr>
          <w:instrText xml:space="preserve"> PAGEREF _Toc214456827 \h </w:instrText>
        </w:r>
        <w:r>
          <w:rPr>
            <w:noProof/>
            <w:webHidden/>
          </w:rPr>
        </w:r>
        <w:r>
          <w:rPr>
            <w:noProof/>
            <w:webHidden/>
          </w:rPr>
          <w:fldChar w:fldCharType="separate"/>
        </w:r>
        <w:r>
          <w:rPr>
            <w:noProof/>
            <w:webHidden/>
          </w:rPr>
          <w:t>63</w:t>
        </w:r>
        <w:r>
          <w:rPr>
            <w:noProof/>
            <w:webHidden/>
          </w:rPr>
          <w:fldChar w:fldCharType="end"/>
        </w:r>
      </w:hyperlink>
    </w:p>
    <w:p w14:paraId="6CACF16C" w14:textId="3767053F" w:rsidR="001A7EE4" w:rsidRDefault="001A7EE4">
      <w:pPr>
        <w:pStyle w:val="TOC4"/>
        <w:rPr>
          <w:rFonts w:eastAsiaTheme="minorEastAsia"/>
          <w:smallCaps w:val="0"/>
          <w:noProof/>
          <w:kern w:val="2"/>
          <w:sz w:val="24"/>
          <w:szCs w:val="24"/>
          <w:lang w:val="en-US" w:eastAsia="en-US" w:bidi="ar-SA"/>
          <w14:ligatures w14:val="standardContextual"/>
        </w:rPr>
      </w:pPr>
      <w:hyperlink w:anchor="_Toc214456828" w:history="1">
        <w:r w:rsidRPr="004460C9">
          <w:rPr>
            <w:rStyle w:val="Hyperlink"/>
            <w:noProof/>
          </w:rPr>
          <w:t>Hub IoT do Azure</w:t>
        </w:r>
        <w:r>
          <w:rPr>
            <w:noProof/>
            <w:webHidden/>
          </w:rPr>
          <w:tab/>
        </w:r>
        <w:r>
          <w:rPr>
            <w:noProof/>
            <w:webHidden/>
          </w:rPr>
          <w:fldChar w:fldCharType="begin"/>
        </w:r>
        <w:r>
          <w:rPr>
            <w:noProof/>
            <w:webHidden/>
          </w:rPr>
          <w:instrText xml:space="preserve"> PAGEREF _Toc214456828 \h </w:instrText>
        </w:r>
        <w:r>
          <w:rPr>
            <w:noProof/>
            <w:webHidden/>
          </w:rPr>
        </w:r>
        <w:r>
          <w:rPr>
            <w:noProof/>
            <w:webHidden/>
          </w:rPr>
          <w:fldChar w:fldCharType="separate"/>
        </w:r>
        <w:r>
          <w:rPr>
            <w:noProof/>
            <w:webHidden/>
          </w:rPr>
          <w:t>63</w:t>
        </w:r>
        <w:r>
          <w:rPr>
            <w:noProof/>
            <w:webHidden/>
          </w:rPr>
          <w:fldChar w:fldCharType="end"/>
        </w:r>
      </w:hyperlink>
    </w:p>
    <w:p w14:paraId="41B6A98E" w14:textId="094D71B4" w:rsidR="001A7EE4" w:rsidRDefault="001A7EE4">
      <w:pPr>
        <w:pStyle w:val="TOC4"/>
        <w:rPr>
          <w:rFonts w:eastAsiaTheme="minorEastAsia"/>
          <w:smallCaps w:val="0"/>
          <w:noProof/>
          <w:kern w:val="2"/>
          <w:sz w:val="24"/>
          <w:szCs w:val="24"/>
          <w:lang w:val="en-US" w:eastAsia="en-US" w:bidi="ar-SA"/>
          <w14:ligatures w14:val="standardContextual"/>
        </w:rPr>
      </w:pPr>
      <w:hyperlink w:anchor="_Toc214456829" w:history="1">
        <w:r w:rsidRPr="004460C9">
          <w:rPr>
            <w:rStyle w:val="Hyperlink"/>
            <w:noProof/>
          </w:rPr>
          <w:t>Cofre de Chaves</w:t>
        </w:r>
        <w:r>
          <w:rPr>
            <w:noProof/>
            <w:webHidden/>
          </w:rPr>
          <w:tab/>
        </w:r>
        <w:r>
          <w:rPr>
            <w:noProof/>
            <w:webHidden/>
          </w:rPr>
          <w:fldChar w:fldCharType="begin"/>
        </w:r>
        <w:r>
          <w:rPr>
            <w:noProof/>
            <w:webHidden/>
          </w:rPr>
          <w:instrText xml:space="preserve"> PAGEREF _Toc214456829 \h </w:instrText>
        </w:r>
        <w:r>
          <w:rPr>
            <w:noProof/>
            <w:webHidden/>
          </w:rPr>
        </w:r>
        <w:r>
          <w:rPr>
            <w:noProof/>
            <w:webHidden/>
          </w:rPr>
          <w:fldChar w:fldCharType="separate"/>
        </w:r>
        <w:r>
          <w:rPr>
            <w:noProof/>
            <w:webHidden/>
          </w:rPr>
          <w:t>64</w:t>
        </w:r>
        <w:r>
          <w:rPr>
            <w:noProof/>
            <w:webHidden/>
          </w:rPr>
          <w:fldChar w:fldCharType="end"/>
        </w:r>
      </w:hyperlink>
    </w:p>
    <w:p w14:paraId="17938707" w14:textId="282BCADC" w:rsidR="001A7EE4" w:rsidRDefault="001A7EE4">
      <w:pPr>
        <w:pStyle w:val="TOC4"/>
        <w:rPr>
          <w:rFonts w:eastAsiaTheme="minorEastAsia"/>
          <w:smallCaps w:val="0"/>
          <w:noProof/>
          <w:kern w:val="2"/>
          <w:sz w:val="24"/>
          <w:szCs w:val="24"/>
          <w:lang w:val="en-US" w:eastAsia="en-US" w:bidi="ar-SA"/>
          <w14:ligatures w14:val="standardContextual"/>
        </w:rPr>
      </w:pPr>
      <w:hyperlink w:anchor="_Toc214456830" w:history="1">
        <w:r w:rsidRPr="004460C9">
          <w:rPr>
            <w:rStyle w:val="Hyperlink"/>
            <w:noProof/>
            <w:lang w:val="en-IN"/>
          </w:rPr>
          <w:t>Azure Key Vault Managed HSM</w:t>
        </w:r>
        <w:r>
          <w:rPr>
            <w:noProof/>
            <w:webHidden/>
          </w:rPr>
          <w:tab/>
        </w:r>
        <w:r>
          <w:rPr>
            <w:noProof/>
            <w:webHidden/>
          </w:rPr>
          <w:fldChar w:fldCharType="begin"/>
        </w:r>
        <w:r>
          <w:rPr>
            <w:noProof/>
            <w:webHidden/>
          </w:rPr>
          <w:instrText xml:space="preserve"> PAGEREF _Toc214456830 \h </w:instrText>
        </w:r>
        <w:r>
          <w:rPr>
            <w:noProof/>
            <w:webHidden/>
          </w:rPr>
        </w:r>
        <w:r>
          <w:rPr>
            <w:noProof/>
            <w:webHidden/>
          </w:rPr>
          <w:fldChar w:fldCharType="separate"/>
        </w:r>
        <w:r>
          <w:rPr>
            <w:noProof/>
            <w:webHidden/>
          </w:rPr>
          <w:t>64</w:t>
        </w:r>
        <w:r>
          <w:rPr>
            <w:noProof/>
            <w:webHidden/>
          </w:rPr>
          <w:fldChar w:fldCharType="end"/>
        </w:r>
      </w:hyperlink>
    </w:p>
    <w:p w14:paraId="11AFD43D" w14:textId="5C80CFB3" w:rsidR="001A7EE4" w:rsidRDefault="001A7EE4">
      <w:pPr>
        <w:pStyle w:val="TOC4"/>
        <w:rPr>
          <w:rFonts w:eastAsiaTheme="minorEastAsia"/>
          <w:smallCaps w:val="0"/>
          <w:noProof/>
          <w:kern w:val="2"/>
          <w:sz w:val="24"/>
          <w:szCs w:val="24"/>
          <w:lang w:val="en-US" w:eastAsia="en-US" w:bidi="ar-SA"/>
          <w14:ligatures w14:val="standardContextual"/>
        </w:rPr>
      </w:pPr>
      <w:hyperlink w:anchor="_Toc214456831" w:history="1">
        <w:r w:rsidRPr="004460C9">
          <w:rPr>
            <w:rStyle w:val="Hyperlink"/>
            <w:noProof/>
          </w:rPr>
          <w:t>Azure Kubernetes Service (AKS)</w:t>
        </w:r>
        <w:r>
          <w:rPr>
            <w:noProof/>
            <w:webHidden/>
          </w:rPr>
          <w:tab/>
        </w:r>
        <w:r>
          <w:rPr>
            <w:noProof/>
            <w:webHidden/>
          </w:rPr>
          <w:fldChar w:fldCharType="begin"/>
        </w:r>
        <w:r>
          <w:rPr>
            <w:noProof/>
            <w:webHidden/>
          </w:rPr>
          <w:instrText xml:space="preserve"> PAGEREF _Toc214456831 \h </w:instrText>
        </w:r>
        <w:r>
          <w:rPr>
            <w:noProof/>
            <w:webHidden/>
          </w:rPr>
        </w:r>
        <w:r>
          <w:rPr>
            <w:noProof/>
            <w:webHidden/>
          </w:rPr>
          <w:fldChar w:fldCharType="separate"/>
        </w:r>
        <w:r>
          <w:rPr>
            <w:noProof/>
            <w:webHidden/>
          </w:rPr>
          <w:t>65</w:t>
        </w:r>
        <w:r>
          <w:rPr>
            <w:noProof/>
            <w:webHidden/>
          </w:rPr>
          <w:fldChar w:fldCharType="end"/>
        </w:r>
      </w:hyperlink>
    </w:p>
    <w:p w14:paraId="216DE095" w14:textId="09DDF940" w:rsidR="001A7EE4" w:rsidRDefault="001A7EE4">
      <w:pPr>
        <w:pStyle w:val="TOC4"/>
        <w:rPr>
          <w:rFonts w:eastAsiaTheme="minorEastAsia"/>
          <w:smallCaps w:val="0"/>
          <w:noProof/>
          <w:kern w:val="2"/>
          <w:sz w:val="24"/>
          <w:szCs w:val="24"/>
          <w:lang w:val="en-US" w:eastAsia="en-US" w:bidi="ar-SA"/>
          <w14:ligatures w14:val="standardContextual"/>
        </w:rPr>
      </w:pPr>
      <w:hyperlink w:anchor="_Toc214456832" w:history="1">
        <w:r w:rsidRPr="004460C9">
          <w:rPr>
            <w:rStyle w:val="Hyperlink"/>
            <w:noProof/>
          </w:rPr>
          <w:t>Clusters Automáticos do Serviço Azure Kubernetes (AKS)</w:t>
        </w:r>
        <w:r>
          <w:rPr>
            <w:noProof/>
            <w:webHidden/>
          </w:rPr>
          <w:tab/>
        </w:r>
        <w:r>
          <w:rPr>
            <w:noProof/>
            <w:webHidden/>
          </w:rPr>
          <w:fldChar w:fldCharType="begin"/>
        </w:r>
        <w:r>
          <w:rPr>
            <w:noProof/>
            <w:webHidden/>
          </w:rPr>
          <w:instrText xml:space="preserve"> PAGEREF _Toc214456832 \h </w:instrText>
        </w:r>
        <w:r>
          <w:rPr>
            <w:noProof/>
            <w:webHidden/>
          </w:rPr>
        </w:r>
        <w:r>
          <w:rPr>
            <w:noProof/>
            <w:webHidden/>
          </w:rPr>
          <w:fldChar w:fldCharType="separate"/>
        </w:r>
        <w:r>
          <w:rPr>
            <w:noProof/>
            <w:webHidden/>
          </w:rPr>
          <w:t>66</w:t>
        </w:r>
        <w:r>
          <w:rPr>
            <w:noProof/>
            <w:webHidden/>
          </w:rPr>
          <w:fldChar w:fldCharType="end"/>
        </w:r>
      </w:hyperlink>
    </w:p>
    <w:p w14:paraId="0F4D855B" w14:textId="2A5ABD39" w:rsidR="001A7EE4" w:rsidRDefault="001A7EE4">
      <w:pPr>
        <w:pStyle w:val="TOC4"/>
        <w:rPr>
          <w:rFonts w:eastAsiaTheme="minorEastAsia"/>
          <w:smallCaps w:val="0"/>
          <w:noProof/>
          <w:kern w:val="2"/>
          <w:sz w:val="24"/>
          <w:szCs w:val="24"/>
          <w:lang w:val="en-US" w:eastAsia="en-US" w:bidi="ar-SA"/>
          <w14:ligatures w14:val="standardContextual"/>
        </w:rPr>
      </w:pPr>
      <w:hyperlink w:anchor="_Toc214456833" w:history="1">
        <w:r w:rsidRPr="004460C9">
          <w:rPr>
            <w:rStyle w:val="Hyperlink"/>
            <w:noProof/>
          </w:rPr>
          <w:t>Azure Lab Services</w:t>
        </w:r>
        <w:r>
          <w:rPr>
            <w:noProof/>
            <w:webHidden/>
          </w:rPr>
          <w:tab/>
        </w:r>
        <w:r>
          <w:rPr>
            <w:noProof/>
            <w:webHidden/>
          </w:rPr>
          <w:fldChar w:fldCharType="begin"/>
        </w:r>
        <w:r>
          <w:rPr>
            <w:noProof/>
            <w:webHidden/>
          </w:rPr>
          <w:instrText xml:space="preserve"> PAGEREF _Toc214456833 \h </w:instrText>
        </w:r>
        <w:r>
          <w:rPr>
            <w:noProof/>
            <w:webHidden/>
          </w:rPr>
        </w:r>
        <w:r>
          <w:rPr>
            <w:noProof/>
            <w:webHidden/>
          </w:rPr>
          <w:fldChar w:fldCharType="separate"/>
        </w:r>
        <w:r>
          <w:rPr>
            <w:noProof/>
            <w:webHidden/>
          </w:rPr>
          <w:t>67</w:t>
        </w:r>
        <w:r>
          <w:rPr>
            <w:noProof/>
            <w:webHidden/>
          </w:rPr>
          <w:fldChar w:fldCharType="end"/>
        </w:r>
      </w:hyperlink>
    </w:p>
    <w:p w14:paraId="2C01A3A4" w14:textId="5FC30E53" w:rsidR="001A7EE4" w:rsidRDefault="001A7EE4">
      <w:pPr>
        <w:pStyle w:val="TOC4"/>
        <w:rPr>
          <w:rFonts w:eastAsiaTheme="minorEastAsia"/>
          <w:smallCaps w:val="0"/>
          <w:noProof/>
          <w:kern w:val="2"/>
          <w:sz w:val="24"/>
          <w:szCs w:val="24"/>
          <w:lang w:val="en-US" w:eastAsia="en-US" w:bidi="ar-SA"/>
          <w14:ligatures w14:val="standardContextual"/>
        </w:rPr>
      </w:pPr>
      <w:hyperlink w:anchor="_Toc214456834" w:history="1">
        <w:r w:rsidRPr="004460C9">
          <w:rPr>
            <w:rStyle w:val="Hyperlink"/>
            <w:noProof/>
          </w:rPr>
          <w:t>Balanceador de Carga do Azure</w:t>
        </w:r>
        <w:r>
          <w:rPr>
            <w:noProof/>
            <w:webHidden/>
          </w:rPr>
          <w:tab/>
        </w:r>
        <w:r>
          <w:rPr>
            <w:noProof/>
            <w:webHidden/>
          </w:rPr>
          <w:fldChar w:fldCharType="begin"/>
        </w:r>
        <w:r>
          <w:rPr>
            <w:noProof/>
            <w:webHidden/>
          </w:rPr>
          <w:instrText xml:space="preserve"> PAGEREF _Toc214456834 \h </w:instrText>
        </w:r>
        <w:r>
          <w:rPr>
            <w:noProof/>
            <w:webHidden/>
          </w:rPr>
        </w:r>
        <w:r>
          <w:rPr>
            <w:noProof/>
            <w:webHidden/>
          </w:rPr>
          <w:fldChar w:fldCharType="separate"/>
        </w:r>
        <w:r>
          <w:rPr>
            <w:noProof/>
            <w:webHidden/>
          </w:rPr>
          <w:t>67</w:t>
        </w:r>
        <w:r>
          <w:rPr>
            <w:noProof/>
            <w:webHidden/>
          </w:rPr>
          <w:fldChar w:fldCharType="end"/>
        </w:r>
      </w:hyperlink>
    </w:p>
    <w:p w14:paraId="55EF8B2A" w14:textId="59695149" w:rsidR="001A7EE4" w:rsidRDefault="001A7EE4">
      <w:pPr>
        <w:pStyle w:val="TOC4"/>
        <w:rPr>
          <w:rFonts w:eastAsiaTheme="minorEastAsia"/>
          <w:smallCaps w:val="0"/>
          <w:noProof/>
          <w:kern w:val="2"/>
          <w:sz w:val="24"/>
          <w:szCs w:val="24"/>
          <w:lang w:val="en-US" w:eastAsia="en-US" w:bidi="ar-SA"/>
          <w14:ligatures w14:val="standardContextual"/>
        </w:rPr>
      </w:pPr>
      <w:hyperlink w:anchor="_Toc214456835" w:history="1">
        <w:r w:rsidRPr="004460C9">
          <w:rPr>
            <w:rStyle w:val="Hyperlink"/>
            <w:noProof/>
          </w:rPr>
          <w:t>Azure Load Testing</w:t>
        </w:r>
        <w:r>
          <w:rPr>
            <w:noProof/>
            <w:webHidden/>
          </w:rPr>
          <w:tab/>
        </w:r>
        <w:r>
          <w:rPr>
            <w:noProof/>
            <w:webHidden/>
          </w:rPr>
          <w:fldChar w:fldCharType="begin"/>
        </w:r>
        <w:r>
          <w:rPr>
            <w:noProof/>
            <w:webHidden/>
          </w:rPr>
          <w:instrText xml:space="preserve"> PAGEREF _Toc214456835 \h </w:instrText>
        </w:r>
        <w:r>
          <w:rPr>
            <w:noProof/>
            <w:webHidden/>
          </w:rPr>
        </w:r>
        <w:r>
          <w:rPr>
            <w:noProof/>
            <w:webHidden/>
          </w:rPr>
          <w:fldChar w:fldCharType="separate"/>
        </w:r>
        <w:r>
          <w:rPr>
            <w:noProof/>
            <w:webHidden/>
          </w:rPr>
          <w:t>68</w:t>
        </w:r>
        <w:r>
          <w:rPr>
            <w:noProof/>
            <w:webHidden/>
          </w:rPr>
          <w:fldChar w:fldCharType="end"/>
        </w:r>
      </w:hyperlink>
    </w:p>
    <w:p w14:paraId="61BABA20" w14:textId="62042A61" w:rsidR="001A7EE4" w:rsidRDefault="001A7EE4">
      <w:pPr>
        <w:pStyle w:val="TOC4"/>
        <w:rPr>
          <w:rFonts w:eastAsiaTheme="minorEastAsia"/>
          <w:smallCaps w:val="0"/>
          <w:noProof/>
          <w:kern w:val="2"/>
          <w:sz w:val="24"/>
          <w:szCs w:val="24"/>
          <w:lang w:val="en-US" w:eastAsia="en-US" w:bidi="ar-SA"/>
          <w14:ligatures w14:val="standardContextual"/>
        </w:rPr>
      </w:pPr>
      <w:hyperlink w:anchor="_Toc214456836" w:history="1">
        <w:r w:rsidRPr="004460C9">
          <w:rPr>
            <w:rStyle w:val="Hyperlink"/>
            <w:noProof/>
          </w:rPr>
          <w:t>Log Analytics (SLA de Disponibilidade de Consultas)</w:t>
        </w:r>
        <w:r>
          <w:rPr>
            <w:noProof/>
            <w:webHidden/>
          </w:rPr>
          <w:tab/>
        </w:r>
        <w:r>
          <w:rPr>
            <w:noProof/>
            <w:webHidden/>
          </w:rPr>
          <w:fldChar w:fldCharType="begin"/>
        </w:r>
        <w:r>
          <w:rPr>
            <w:noProof/>
            <w:webHidden/>
          </w:rPr>
          <w:instrText xml:space="preserve"> PAGEREF _Toc214456836 \h </w:instrText>
        </w:r>
        <w:r>
          <w:rPr>
            <w:noProof/>
            <w:webHidden/>
          </w:rPr>
        </w:r>
        <w:r>
          <w:rPr>
            <w:noProof/>
            <w:webHidden/>
          </w:rPr>
          <w:fldChar w:fldCharType="separate"/>
        </w:r>
        <w:r>
          <w:rPr>
            <w:noProof/>
            <w:webHidden/>
          </w:rPr>
          <w:t>68</w:t>
        </w:r>
        <w:r>
          <w:rPr>
            <w:noProof/>
            <w:webHidden/>
          </w:rPr>
          <w:fldChar w:fldCharType="end"/>
        </w:r>
      </w:hyperlink>
    </w:p>
    <w:p w14:paraId="53833EBB" w14:textId="66E414EE" w:rsidR="001A7EE4" w:rsidRDefault="001A7EE4">
      <w:pPr>
        <w:pStyle w:val="TOC4"/>
        <w:rPr>
          <w:rFonts w:eastAsiaTheme="minorEastAsia"/>
          <w:smallCaps w:val="0"/>
          <w:noProof/>
          <w:kern w:val="2"/>
          <w:sz w:val="24"/>
          <w:szCs w:val="24"/>
          <w:lang w:val="en-US" w:eastAsia="en-US" w:bidi="ar-SA"/>
          <w14:ligatures w14:val="standardContextual"/>
        </w:rPr>
      </w:pPr>
      <w:hyperlink w:anchor="_Toc214456837" w:history="1">
        <w:r w:rsidRPr="004460C9">
          <w:rPr>
            <w:rStyle w:val="Hyperlink"/>
            <w:noProof/>
          </w:rPr>
          <w:t>Aplicações Lógicas</w:t>
        </w:r>
        <w:r>
          <w:rPr>
            <w:noProof/>
            <w:webHidden/>
          </w:rPr>
          <w:tab/>
        </w:r>
        <w:r>
          <w:rPr>
            <w:noProof/>
            <w:webHidden/>
          </w:rPr>
          <w:fldChar w:fldCharType="begin"/>
        </w:r>
        <w:r>
          <w:rPr>
            <w:noProof/>
            <w:webHidden/>
          </w:rPr>
          <w:instrText xml:space="preserve"> PAGEREF _Toc214456837 \h </w:instrText>
        </w:r>
        <w:r>
          <w:rPr>
            <w:noProof/>
            <w:webHidden/>
          </w:rPr>
        </w:r>
        <w:r>
          <w:rPr>
            <w:noProof/>
            <w:webHidden/>
          </w:rPr>
          <w:fldChar w:fldCharType="separate"/>
        </w:r>
        <w:r>
          <w:rPr>
            <w:noProof/>
            <w:webHidden/>
          </w:rPr>
          <w:t>69</w:t>
        </w:r>
        <w:r>
          <w:rPr>
            <w:noProof/>
            <w:webHidden/>
          </w:rPr>
          <w:fldChar w:fldCharType="end"/>
        </w:r>
      </w:hyperlink>
    </w:p>
    <w:p w14:paraId="6D0A755B" w14:textId="4AA31B8E" w:rsidR="001A7EE4" w:rsidRDefault="001A7EE4">
      <w:pPr>
        <w:pStyle w:val="TOC4"/>
        <w:rPr>
          <w:rFonts w:eastAsiaTheme="minorEastAsia"/>
          <w:smallCaps w:val="0"/>
          <w:noProof/>
          <w:kern w:val="2"/>
          <w:sz w:val="24"/>
          <w:szCs w:val="24"/>
          <w:lang w:val="en-US" w:eastAsia="en-US" w:bidi="ar-SA"/>
          <w14:ligatures w14:val="standardContextual"/>
        </w:rPr>
      </w:pPr>
      <w:hyperlink w:anchor="_Toc214456838" w:history="1">
        <w:r w:rsidRPr="004460C9">
          <w:rPr>
            <w:rStyle w:val="Hyperlink"/>
            <w:noProof/>
          </w:rPr>
          <w:t>Azure Machine Learning</w:t>
        </w:r>
        <w:r>
          <w:rPr>
            <w:noProof/>
            <w:webHidden/>
          </w:rPr>
          <w:tab/>
        </w:r>
        <w:r>
          <w:rPr>
            <w:noProof/>
            <w:webHidden/>
          </w:rPr>
          <w:fldChar w:fldCharType="begin"/>
        </w:r>
        <w:r>
          <w:rPr>
            <w:noProof/>
            <w:webHidden/>
          </w:rPr>
          <w:instrText xml:space="preserve"> PAGEREF _Toc214456838 \h </w:instrText>
        </w:r>
        <w:r>
          <w:rPr>
            <w:noProof/>
            <w:webHidden/>
          </w:rPr>
        </w:r>
        <w:r>
          <w:rPr>
            <w:noProof/>
            <w:webHidden/>
          </w:rPr>
          <w:fldChar w:fldCharType="separate"/>
        </w:r>
        <w:r>
          <w:rPr>
            <w:noProof/>
            <w:webHidden/>
          </w:rPr>
          <w:t>69</w:t>
        </w:r>
        <w:r>
          <w:rPr>
            <w:noProof/>
            <w:webHidden/>
          </w:rPr>
          <w:fldChar w:fldCharType="end"/>
        </w:r>
      </w:hyperlink>
    </w:p>
    <w:p w14:paraId="454513B4" w14:textId="2F9C6BF7" w:rsidR="001A7EE4" w:rsidRDefault="001A7EE4">
      <w:pPr>
        <w:pStyle w:val="TOC4"/>
        <w:rPr>
          <w:rFonts w:eastAsiaTheme="minorEastAsia"/>
          <w:smallCaps w:val="0"/>
          <w:noProof/>
          <w:kern w:val="2"/>
          <w:sz w:val="24"/>
          <w:szCs w:val="24"/>
          <w:lang w:val="en-US" w:eastAsia="en-US" w:bidi="ar-SA"/>
          <w14:ligatures w14:val="standardContextual"/>
        </w:rPr>
      </w:pPr>
      <w:hyperlink w:anchor="_Toc214456839" w:history="1">
        <w:r w:rsidRPr="004460C9">
          <w:rPr>
            <w:rStyle w:val="Hyperlink"/>
            <w:noProof/>
          </w:rPr>
          <w:t>Azure Managed Grafana</w:t>
        </w:r>
        <w:r>
          <w:rPr>
            <w:noProof/>
            <w:webHidden/>
          </w:rPr>
          <w:tab/>
        </w:r>
        <w:r>
          <w:rPr>
            <w:noProof/>
            <w:webHidden/>
          </w:rPr>
          <w:fldChar w:fldCharType="begin"/>
        </w:r>
        <w:r>
          <w:rPr>
            <w:noProof/>
            <w:webHidden/>
          </w:rPr>
          <w:instrText xml:space="preserve"> PAGEREF _Toc214456839 \h </w:instrText>
        </w:r>
        <w:r>
          <w:rPr>
            <w:noProof/>
            <w:webHidden/>
          </w:rPr>
        </w:r>
        <w:r>
          <w:rPr>
            <w:noProof/>
            <w:webHidden/>
          </w:rPr>
          <w:fldChar w:fldCharType="separate"/>
        </w:r>
        <w:r>
          <w:rPr>
            <w:noProof/>
            <w:webHidden/>
          </w:rPr>
          <w:t>70</w:t>
        </w:r>
        <w:r>
          <w:rPr>
            <w:noProof/>
            <w:webHidden/>
          </w:rPr>
          <w:fldChar w:fldCharType="end"/>
        </w:r>
      </w:hyperlink>
    </w:p>
    <w:p w14:paraId="0611ACBF" w14:textId="1025B508" w:rsidR="001A7EE4" w:rsidRDefault="001A7EE4">
      <w:pPr>
        <w:pStyle w:val="TOC4"/>
        <w:rPr>
          <w:rFonts w:eastAsiaTheme="minorEastAsia"/>
          <w:smallCaps w:val="0"/>
          <w:noProof/>
          <w:kern w:val="2"/>
          <w:sz w:val="24"/>
          <w:szCs w:val="24"/>
          <w:lang w:val="en-US" w:eastAsia="en-US" w:bidi="ar-SA"/>
          <w14:ligatures w14:val="standardContextual"/>
        </w:rPr>
      </w:pPr>
      <w:hyperlink w:anchor="_Toc214456840" w:history="1">
        <w:r w:rsidRPr="004460C9">
          <w:rPr>
            <w:rStyle w:val="Hyperlink"/>
            <w:noProof/>
          </w:rPr>
          <w:t>Azure Managed Instance para Apache Cassandra</w:t>
        </w:r>
        <w:r>
          <w:rPr>
            <w:noProof/>
            <w:webHidden/>
          </w:rPr>
          <w:tab/>
        </w:r>
        <w:r>
          <w:rPr>
            <w:noProof/>
            <w:webHidden/>
          </w:rPr>
          <w:fldChar w:fldCharType="begin"/>
        </w:r>
        <w:r>
          <w:rPr>
            <w:noProof/>
            <w:webHidden/>
          </w:rPr>
          <w:instrText xml:space="preserve"> PAGEREF _Toc214456840 \h </w:instrText>
        </w:r>
        <w:r>
          <w:rPr>
            <w:noProof/>
            <w:webHidden/>
          </w:rPr>
        </w:r>
        <w:r>
          <w:rPr>
            <w:noProof/>
            <w:webHidden/>
          </w:rPr>
          <w:fldChar w:fldCharType="separate"/>
        </w:r>
        <w:r>
          <w:rPr>
            <w:noProof/>
            <w:webHidden/>
          </w:rPr>
          <w:t>70</w:t>
        </w:r>
        <w:r>
          <w:rPr>
            <w:noProof/>
            <w:webHidden/>
          </w:rPr>
          <w:fldChar w:fldCharType="end"/>
        </w:r>
      </w:hyperlink>
    </w:p>
    <w:p w14:paraId="6F1CD262" w14:textId="0F23654B" w:rsidR="001A7EE4" w:rsidRDefault="001A7EE4">
      <w:pPr>
        <w:pStyle w:val="TOC4"/>
        <w:rPr>
          <w:rFonts w:eastAsiaTheme="minorEastAsia"/>
          <w:smallCaps w:val="0"/>
          <w:noProof/>
          <w:kern w:val="2"/>
          <w:sz w:val="24"/>
          <w:szCs w:val="24"/>
          <w:lang w:val="en-US" w:eastAsia="en-US" w:bidi="ar-SA"/>
          <w14:ligatures w14:val="standardContextual"/>
        </w:rPr>
      </w:pPr>
      <w:hyperlink w:anchor="_Toc214456841" w:history="1">
        <w:r w:rsidRPr="004460C9">
          <w:rPr>
            <w:rStyle w:val="Hyperlink"/>
            <w:noProof/>
          </w:rPr>
          <w:t>Azure Maps</w:t>
        </w:r>
        <w:r>
          <w:rPr>
            <w:noProof/>
            <w:webHidden/>
          </w:rPr>
          <w:tab/>
        </w:r>
        <w:r>
          <w:rPr>
            <w:noProof/>
            <w:webHidden/>
          </w:rPr>
          <w:fldChar w:fldCharType="begin"/>
        </w:r>
        <w:r>
          <w:rPr>
            <w:noProof/>
            <w:webHidden/>
          </w:rPr>
          <w:instrText xml:space="preserve"> PAGEREF _Toc214456841 \h </w:instrText>
        </w:r>
        <w:r>
          <w:rPr>
            <w:noProof/>
            <w:webHidden/>
          </w:rPr>
        </w:r>
        <w:r>
          <w:rPr>
            <w:noProof/>
            <w:webHidden/>
          </w:rPr>
          <w:fldChar w:fldCharType="separate"/>
        </w:r>
        <w:r>
          <w:rPr>
            <w:noProof/>
            <w:webHidden/>
          </w:rPr>
          <w:t>71</w:t>
        </w:r>
        <w:r>
          <w:rPr>
            <w:noProof/>
            <w:webHidden/>
          </w:rPr>
          <w:fldChar w:fldCharType="end"/>
        </w:r>
      </w:hyperlink>
    </w:p>
    <w:p w14:paraId="3FBFDFE1" w14:textId="60E9FB76" w:rsidR="001A7EE4" w:rsidRDefault="001A7EE4">
      <w:pPr>
        <w:pStyle w:val="TOC4"/>
        <w:rPr>
          <w:rFonts w:eastAsiaTheme="minorEastAsia"/>
          <w:smallCaps w:val="0"/>
          <w:noProof/>
          <w:kern w:val="2"/>
          <w:sz w:val="24"/>
          <w:szCs w:val="24"/>
          <w:lang w:val="en-US" w:eastAsia="en-US" w:bidi="ar-SA"/>
          <w14:ligatures w14:val="standardContextual"/>
        </w:rPr>
      </w:pPr>
      <w:hyperlink w:anchor="_Toc214456842" w:history="1">
        <w:r w:rsidRPr="004460C9">
          <w:rPr>
            <w:rStyle w:val="Hyperlink"/>
            <w:noProof/>
          </w:rPr>
          <w:t>Serviços de Multimédia</w:t>
        </w:r>
        <w:r>
          <w:rPr>
            <w:noProof/>
            <w:webHidden/>
          </w:rPr>
          <w:tab/>
        </w:r>
        <w:r>
          <w:rPr>
            <w:noProof/>
            <w:webHidden/>
          </w:rPr>
          <w:fldChar w:fldCharType="begin"/>
        </w:r>
        <w:r>
          <w:rPr>
            <w:noProof/>
            <w:webHidden/>
          </w:rPr>
          <w:instrText xml:space="preserve"> PAGEREF _Toc214456842 \h </w:instrText>
        </w:r>
        <w:r>
          <w:rPr>
            <w:noProof/>
            <w:webHidden/>
          </w:rPr>
        </w:r>
        <w:r>
          <w:rPr>
            <w:noProof/>
            <w:webHidden/>
          </w:rPr>
          <w:fldChar w:fldCharType="separate"/>
        </w:r>
        <w:r>
          <w:rPr>
            <w:noProof/>
            <w:webHidden/>
          </w:rPr>
          <w:t>72</w:t>
        </w:r>
        <w:r>
          <w:rPr>
            <w:noProof/>
            <w:webHidden/>
          </w:rPr>
          <w:fldChar w:fldCharType="end"/>
        </w:r>
      </w:hyperlink>
    </w:p>
    <w:p w14:paraId="3EFC9254" w14:textId="1C56FFAE" w:rsidR="001A7EE4" w:rsidRDefault="001A7EE4">
      <w:pPr>
        <w:pStyle w:val="TOC4"/>
        <w:rPr>
          <w:rFonts w:eastAsiaTheme="minorEastAsia"/>
          <w:smallCaps w:val="0"/>
          <w:noProof/>
          <w:kern w:val="2"/>
          <w:sz w:val="24"/>
          <w:szCs w:val="24"/>
          <w:lang w:val="en-US" w:eastAsia="en-US" w:bidi="ar-SA"/>
          <w14:ligatures w14:val="standardContextual"/>
        </w:rPr>
      </w:pPr>
      <w:hyperlink w:anchor="_Toc214456843" w:history="1">
        <w:r w:rsidRPr="004460C9">
          <w:rPr>
            <w:rStyle w:val="Hyperlink"/>
            <w:noProof/>
          </w:rPr>
          <w:t>Serviço MedTech</w:t>
        </w:r>
        <w:r>
          <w:rPr>
            <w:noProof/>
            <w:webHidden/>
          </w:rPr>
          <w:tab/>
        </w:r>
        <w:r>
          <w:rPr>
            <w:noProof/>
            <w:webHidden/>
          </w:rPr>
          <w:fldChar w:fldCharType="begin"/>
        </w:r>
        <w:r>
          <w:rPr>
            <w:noProof/>
            <w:webHidden/>
          </w:rPr>
          <w:instrText xml:space="preserve"> PAGEREF _Toc214456843 \h </w:instrText>
        </w:r>
        <w:r>
          <w:rPr>
            <w:noProof/>
            <w:webHidden/>
          </w:rPr>
        </w:r>
        <w:r>
          <w:rPr>
            <w:noProof/>
            <w:webHidden/>
          </w:rPr>
          <w:fldChar w:fldCharType="separate"/>
        </w:r>
        <w:r>
          <w:rPr>
            <w:noProof/>
            <w:webHidden/>
          </w:rPr>
          <w:t>74</w:t>
        </w:r>
        <w:r>
          <w:rPr>
            <w:noProof/>
            <w:webHidden/>
          </w:rPr>
          <w:fldChar w:fldCharType="end"/>
        </w:r>
      </w:hyperlink>
    </w:p>
    <w:p w14:paraId="7A868750" w14:textId="79E9A04A" w:rsidR="001A7EE4" w:rsidRDefault="001A7EE4">
      <w:pPr>
        <w:pStyle w:val="TOC4"/>
        <w:rPr>
          <w:rFonts w:eastAsiaTheme="minorEastAsia"/>
          <w:smallCaps w:val="0"/>
          <w:noProof/>
          <w:kern w:val="2"/>
          <w:sz w:val="24"/>
          <w:szCs w:val="24"/>
          <w:lang w:val="en-US" w:eastAsia="en-US" w:bidi="ar-SA"/>
          <w14:ligatures w14:val="standardContextual"/>
        </w:rPr>
      </w:pPr>
      <w:hyperlink w:anchor="_Toc214456844" w:history="1">
        <w:r w:rsidRPr="004460C9">
          <w:rPr>
            <w:rStyle w:val="Hyperlink"/>
            <w:noProof/>
          </w:rPr>
          <w:t>Microsoft Fabric</w:t>
        </w:r>
        <w:r>
          <w:rPr>
            <w:noProof/>
            <w:webHidden/>
          </w:rPr>
          <w:tab/>
        </w:r>
        <w:r>
          <w:rPr>
            <w:noProof/>
            <w:webHidden/>
          </w:rPr>
          <w:fldChar w:fldCharType="begin"/>
        </w:r>
        <w:r>
          <w:rPr>
            <w:noProof/>
            <w:webHidden/>
          </w:rPr>
          <w:instrText xml:space="preserve"> PAGEREF _Toc214456844 \h </w:instrText>
        </w:r>
        <w:r>
          <w:rPr>
            <w:noProof/>
            <w:webHidden/>
          </w:rPr>
        </w:r>
        <w:r>
          <w:rPr>
            <w:noProof/>
            <w:webHidden/>
          </w:rPr>
          <w:fldChar w:fldCharType="separate"/>
        </w:r>
        <w:r>
          <w:rPr>
            <w:noProof/>
            <w:webHidden/>
          </w:rPr>
          <w:t>74</w:t>
        </w:r>
        <w:r>
          <w:rPr>
            <w:noProof/>
            <w:webHidden/>
          </w:rPr>
          <w:fldChar w:fldCharType="end"/>
        </w:r>
      </w:hyperlink>
    </w:p>
    <w:p w14:paraId="1602105C" w14:textId="190B6147" w:rsidR="001A7EE4" w:rsidRDefault="001A7EE4">
      <w:pPr>
        <w:pStyle w:val="TOC4"/>
        <w:rPr>
          <w:rFonts w:eastAsiaTheme="minorEastAsia"/>
          <w:smallCaps w:val="0"/>
          <w:noProof/>
          <w:kern w:val="2"/>
          <w:sz w:val="24"/>
          <w:szCs w:val="24"/>
          <w:lang w:val="en-US" w:eastAsia="en-US" w:bidi="ar-SA"/>
          <w14:ligatures w14:val="standardContextual"/>
        </w:rPr>
      </w:pPr>
      <w:hyperlink w:anchor="_Toc214456845" w:history="1">
        <w:r w:rsidRPr="004460C9">
          <w:rPr>
            <w:rStyle w:val="Hyperlink"/>
            <w:noProof/>
          </w:rPr>
          <w:t>Microsoft Genomics</w:t>
        </w:r>
        <w:r>
          <w:rPr>
            <w:noProof/>
            <w:webHidden/>
          </w:rPr>
          <w:tab/>
        </w:r>
        <w:r>
          <w:rPr>
            <w:noProof/>
            <w:webHidden/>
          </w:rPr>
          <w:fldChar w:fldCharType="begin"/>
        </w:r>
        <w:r>
          <w:rPr>
            <w:noProof/>
            <w:webHidden/>
          </w:rPr>
          <w:instrText xml:space="preserve"> PAGEREF _Toc214456845 \h </w:instrText>
        </w:r>
        <w:r>
          <w:rPr>
            <w:noProof/>
            <w:webHidden/>
          </w:rPr>
        </w:r>
        <w:r>
          <w:rPr>
            <w:noProof/>
            <w:webHidden/>
          </w:rPr>
          <w:fldChar w:fldCharType="separate"/>
        </w:r>
        <w:r>
          <w:rPr>
            <w:noProof/>
            <w:webHidden/>
          </w:rPr>
          <w:t>75</w:t>
        </w:r>
        <w:r>
          <w:rPr>
            <w:noProof/>
            <w:webHidden/>
          </w:rPr>
          <w:fldChar w:fldCharType="end"/>
        </w:r>
      </w:hyperlink>
    </w:p>
    <w:p w14:paraId="683A5C7B" w14:textId="5A863B89" w:rsidR="001A7EE4" w:rsidRDefault="001A7EE4">
      <w:pPr>
        <w:pStyle w:val="TOC4"/>
        <w:rPr>
          <w:rFonts w:eastAsiaTheme="minorEastAsia"/>
          <w:smallCaps w:val="0"/>
          <w:noProof/>
          <w:kern w:val="2"/>
          <w:sz w:val="24"/>
          <w:szCs w:val="24"/>
          <w:lang w:val="en-US" w:eastAsia="en-US" w:bidi="ar-SA"/>
          <w14:ligatures w14:val="standardContextual"/>
        </w:rPr>
      </w:pPr>
      <w:hyperlink w:anchor="_Toc214456846" w:history="1">
        <w:r w:rsidRPr="004460C9">
          <w:rPr>
            <w:rStyle w:val="Hyperlink"/>
            <w:noProof/>
          </w:rPr>
          <w:t>Microsoft Sentinel</w:t>
        </w:r>
        <w:r>
          <w:rPr>
            <w:noProof/>
            <w:webHidden/>
          </w:rPr>
          <w:tab/>
        </w:r>
        <w:r>
          <w:rPr>
            <w:noProof/>
            <w:webHidden/>
          </w:rPr>
          <w:fldChar w:fldCharType="begin"/>
        </w:r>
        <w:r>
          <w:rPr>
            <w:noProof/>
            <w:webHidden/>
          </w:rPr>
          <w:instrText xml:space="preserve"> PAGEREF _Toc214456846 \h </w:instrText>
        </w:r>
        <w:r>
          <w:rPr>
            <w:noProof/>
            <w:webHidden/>
          </w:rPr>
        </w:r>
        <w:r>
          <w:rPr>
            <w:noProof/>
            <w:webHidden/>
          </w:rPr>
          <w:fldChar w:fldCharType="separate"/>
        </w:r>
        <w:r>
          <w:rPr>
            <w:noProof/>
            <w:webHidden/>
          </w:rPr>
          <w:t>76</w:t>
        </w:r>
        <w:r>
          <w:rPr>
            <w:noProof/>
            <w:webHidden/>
          </w:rPr>
          <w:fldChar w:fldCharType="end"/>
        </w:r>
      </w:hyperlink>
    </w:p>
    <w:p w14:paraId="21FACA54" w14:textId="20A5B3EB" w:rsidR="001A7EE4" w:rsidRDefault="001A7EE4">
      <w:pPr>
        <w:pStyle w:val="TOC4"/>
        <w:rPr>
          <w:rFonts w:eastAsiaTheme="minorEastAsia"/>
          <w:smallCaps w:val="0"/>
          <w:noProof/>
          <w:kern w:val="2"/>
          <w:sz w:val="24"/>
          <w:szCs w:val="24"/>
          <w:lang w:val="en-US" w:eastAsia="en-US" w:bidi="ar-SA"/>
          <w14:ligatures w14:val="standardContextual"/>
        </w:rPr>
      </w:pPr>
      <w:hyperlink w:anchor="_Toc214456847" w:history="1">
        <w:r w:rsidRPr="004460C9">
          <w:rPr>
            <w:rStyle w:val="Hyperlink"/>
            <w:noProof/>
          </w:rPr>
          <w:t>Serviços Móveis</w:t>
        </w:r>
        <w:r>
          <w:rPr>
            <w:noProof/>
            <w:webHidden/>
          </w:rPr>
          <w:tab/>
        </w:r>
        <w:r>
          <w:rPr>
            <w:noProof/>
            <w:webHidden/>
          </w:rPr>
          <w:fldChar w:fldCharType="begin"/>
        </w:r>
        <w:r>
          <w:rPr>
            <w:noProof/>
            <w:webHidden/>
          </w:rPr>
          <w:instrText xml:space="preserve"> PAGEREF _Toc214456847 \h </w:instrText>
        </w:r>
        <w:r>
          <w:rPr>
            <w:noProof/>
            <w:webHidden/>
          </w:rPr>
        </w:r>
        <w:r>
          <w:rPr>
            <w:noProof/>
            <w:webHidden/>
          </w:rPr>
          <w:fldChar w:fldCharType="separate"/>
        </w:r>
        <w:r>
          <w:rPr>
            <w:noProof/>
            <w:webHidden/>
          </w:rPr>
          <w:t>76</w:t>
        </w:r>
        <w:r>
          <w:rPr>
            <w:noProof/>
            <w:webHidden/>
          </w:rPr>
          <w:fldChar w:fldCharType="end"/>
        </w:r>
      </w:hyperlink>
    </w:p>
    <w:p w14:paraId="2D30C4B8" w14:textId="1F01A771" w:rsidR="001A7EE4" w:rsidRDefault="001A7EE4">
      <w:pPr>
        <w:pStyle w:val="TOC4"/>
        <w:rPr>
          <w:rFonts w:eastAsiaTheme="minorEastAsia"/>
          <w:smallCaps w:val="0"/>
          <w:noProof/>
          <w:kern w:val="2"/>
          <w:sz w:val="24"/>
          <w:szCs w:val="24"/>
          <w:lang w:val="en-US" w:eastAsia="en-US" w:bidi="ar-SA"/>
          <w14:ligatures w14:val="standardContextual"/>
        </w:rPr>
      </w:pPr>
      <w:hyperlink w:anchor="_Toc214456848" w:history="1">
        <w:r w:rsidRPr="004460C9">
          <w:rPr>
            <w:rStyle w:val="Hyperlink"/>
            <w:noProof/>
          </w:rPr>
          <w:t>Azure Monitor</w:t>
        </w:r>
        <w:r>
          <w:rPr>
            <w:noProof/>
            <w:webHidden/>
          </w:rPr>
          <w:tab/>
        </w:r>
        <w:r>
          <w:rPr>
            <w:noProof/>
            <w:webHidden/>
          </w:rPr>
          <w:fldChar w:fldCharType="begin"/>
        </w:r>
        <w:r>
          <w:rPr>
            <w:noProof/>
            <w:webHidden/>
          </w:rPr>
          <w:instrText xml:space="preserve"> PAGEREF _Toc214456848 \h </w:instrText>
        </w:r>
        <w:r>
          <w:rPr>
            <w:noProof/>
            <w:webHidden/>
          </w:rPr>
        </w:r>
        <w:r>
          <w:rPr>
            <w:noProof/>
            <w:webHidden/>
          </w:rPr>
          <w:fldChar w:fldCharType="separate"/>
        </w:r>
        <w:r>
          <w:rPr>
            <w:noProof/>
            <w:webHidden/>
          </w:rPr>
          <w:t>76</w:t>
        </w:r>
        <w:r>
          <w:rPr>
            <w:noProof/>
            <w:webHidden/>
          </w:rPr>
          <w:fldChar w:fldCharType="end"/>
        </w:r>
      </w:hyperlink>
    </w:p>
    <w:p w14:paraId="42F79645" w14:textId="086D78D8" w:rsidR="001A7EE4" w:rsidRDefault="001A7EE4">
      <w:pPr>
        <w:pStyle w:val="TOC4"/>
        <w:rPr>
          <w:rFonts w:eastAsiaTheme="minorEastAsia"/>
          <w:smallCaps w:val="0"/>
          <w:noProof/>
          <w:kern w:val="2"/>
          <w:sz w:val="24"/>
          <w:szCs w:val="24"/>
          <w:lang w:val="en-US" w:eastAsia="en-US" w:bidi="ar-SA"/>
          <w14:ligatures w14:val="standardContextual"/>
        </w:rPr>
      </w:pPr>
      <w:hyperlink w:anchor="_Toc214456849" w:history="1">
        <w:r w:rsidRPr="004460C9">
          <w:rPr>
            <w:rStyle w:val="Hyperlink"/>
            <w:noProof/>
          </w:rPr>
          <w:t>Azure NetApp Files</w:t>
        </w:r>
        <w:r>
          <w:rPr>
            <w:noProof/>
            <w:webHidden/>
          </w:rPr>
          <w:tab/>
        </w:r>
        <w:r>
          <w:rPr>
            <w:noProof/>
            <w:webHidden/>
          </w:rPr>
          <w:fldChar w:fldCharType="begin"/>
        </w:r>
        <w:r>
          <w:rPr>
            <w:noProof/>
            <w:webHidden/>
          </w:rPr>
          <w:instrText xml:space="preserve"> PAGEREF _Toc214456849 \h </w:instrText>
        </w:r>
        <w:r>
          <w:rPr>
            <w:noProof/>
            <w:webHidden/>
          </w:rPr>
        </w:r>
        <w:r>
          <w:rPr>
            <w:noProof/>
            <w:webHidden/>
          </w:rPr>
          <w:fldChar w:fldCharType="separate"/>
        </w:r>
        <w:r>
          <w:rPr>
            <w:noProof/>
            <w:webHidden/>
          </w:rPr>
          <w:t>78</w:t>
        </w:r>
        <w:r>
          <w:rPr>
            <w:noProof/>
            <w:webHidden/>
          </w:rPr>
          <w:fldChar w:fldCharType="end"/>
        </w:r>
      </w:hyperlink>
    </w:p>
    <w:p w14:paraId="2F4C9D39" w14:textId="20FAED99" w:rsidR="001A7EE4" w:rsidRDefault="001A7EE4">
      <w:pPr>
        <w:pStyle w:val="TOC4"/>
        <w:rPr>
          <w:rFonts w:eastAsiaTheme="minorEastAsia"/>
          <w:smallCaps w:val="0"/>
          <w:noProof/>
          <w:kern w:val="2"/>
          <w:sz w:val="24"/>
          <w:szCs w:val="24"/>
          <w:lang w:val="en-US" w:eastAsia="en-US" w:bidi="ar-SA"/>
          <w14:ligatures w14:val="standardContextual"/>
        </w:rPr>
      </w:pPr>
      <w:hyperlink w:anchor="_Toc214456850" w:history="1">
        <w:r w:rsidRPr="004460C9">
          <w:rPr>
            <w:rStyle w:val="Hyperlink"/>
            <w:noProof/>
          </w:rPr>
          <w:t>Observador de Rede</w:t>
        </w:r>
        <w:r>
          <w:rPr>
            <w:noProof/>
            <w:webHidden/>
          </w:rPr>
          <w:tab/>
        </w:r>
        <w:r>
          <w:rPr>
            <w:noProof/>
            <w:webHidden/>
          </w:rPr>
          <w:fldChar w:fldCharType="begin"/>
        </w:r>
        <w:r>
          <w:rPr>
            <w:noProof/>
            <w:webHidden/>
          </w:rPr>
          <w:instrText xml:space="preserve"> PAGEREF _Toc214456850 \h </w:instrText>
        </w:r>
        <w:r>
          <w:rPr>
            <w:noProof/>
            <w:webHidden/>
          </w:rPr>
        </w:r>
        <w:r>
          <w:rPr>
            <w:noProof/>
            <w:webHidden/>
          </w:rPr>
          <w:fldChar w:fldCharType="separate"/>
        </w:r>
        <w:r>
          <w:rPr>
            <w:noProof/>
            <w:webHidden/>
          </w:rPr>
          <w:t>78</w:t>
        </w:r>
        <w:r>
          <w:rPr>
            <w:noProof/>
            <w:webHidden/>
          </w:rPr>
          <w:fldChar w:fldCharType="end"/>
        </w:r>
      </w:hyperlink>
    </w:p>
    <w:p w14:paraId="29386A7A" w14:textId="3E5E8F85" w:rsidR="001A7EE4" w:rsidRDefault="001A7EE4">
      <w:pPr>
        <w:pStyle w:val="TOC4"/>
        <w:rPr>
          <w:rFonts w:eastAsiaTheme="minorEastAsia"/>
          <w:smallCaps w:val="0"/>
          <w:noProof/>
          <w:kern w:val="2"/>
          <w:sz w:val="24"/>
          <w:szCs w:val="24"/>
          <w:lang w:val="en-US" w:eastAsia="en-US" w:bidi="ar-SA"/>
          <w14:ligatures w14:val="standardContextual"/>
        </w:rPr>
      </w:pPr>
      <w:hyperlink w:anchor="_Toc214456851" w:history="1">
        <w:r w:rsidRPr="004460C9">
          <w:rPr>
            <w:rStyle w:val="Hyperlink"/>
            <w:noProof/>
          </w:rPr>
          <w:t>Hubs de Notificação</w:t>
        </w:r>
        <w:r>
          <w:rPr>
            <w:noProof/>
            <w:webHidden/>
          </w:rPr>
          <w:tab/>
        </w:r>
        <w:r>
          <w:rPr>
            <w:noProof/>
            <w:webHidden/>
          </w:rPr>
          <w:fldChar w:fldCharType="begin"/>
        </w:r>
        <w:r>
          <w:rPr>
            <w:noProof/>
            <w:webHidden/>
          </w:rPr>
          <w:instrText xml:space="preserve"> PAGEREF _Toc214456851 \h </w:instrText>
        </w:r>
        <w:r>
          <w:rPr>
            <w:noProof/>
            <w:webHidden/>
          </w:rPr>
        </w:r>
        <w:r>
          <w:rPr>
            <w:noProof/>
            <w:webHidden/>
          </w:rPr>
          <w:fldChar w:fldCharType="separate"/>
        </w:r>
        <w:r>
          <w:rPr>
            <w:noProof/>
            <w:webHidden/>
          </w:rPr>
          <w:t>78</w:t>
        </w:r>
        <w:r>
          <w:rPr>
            <w:noProof/>
            <w:webHidden/>
          </w:rPr>
          <w:fldChar w:fldCharType="end"/>
        </w:r>
      </w:hyperlink>
    </w:p>
    <w:p w14:paraId="74598AD5" w14:textId="4D3796CC" w:rsidR="001A7EE4" w:rsidRDefault="001A7EE4">
      <w:pPr>
        <w:pStyle w:val="TOC4"/>
        <w:rPr>
          <w:rFonts w:eastAsiaTheme="minorEastAsia"/>
          <w:smallCaps w:val="0"/>
          <w:noProof/>
          <w:kern w:val="2"/>
          <w:sz w:val="24"/>
          <w:szCs w:val="24"/>
          <w:lang w:val="en-US" w:eastAsia="en-US" w:bidi="ar-SA"/>
          <w14:ligatures w14:val="standardContextual"/>
        </w:rPr>
      </w:pPr>
      <w:hyperlink w:anchor="_Toc214456852" w:history="1">
        <w:r w:rsidRPr="004460C9">
          <w:rPr>
            <w:rStyle w:val="Hyperlink"/>
            <w:noProof/>
          </w:rPr>
          <w:t>Reservas de Capacidade A Pedido para Máquinas Virtuais do Azure</w:t>
        </w:r>
        <w:r>
          <w:rPr>
            <w:noProof/>
            <w:webHidden/>
          </w:rPr>
          <w:tab/>
        </w:r>
        <w:r>
          <w:rPr>
            <w:noProof/>
            <w:webHidden/>
          </w:rPr>
          <w:fldChar w:fldCharType="begin"/>
        </w:r>
        <w:r>
          <w:rPr>
            <w:noProof/>
            <w:webHidden/>
          </w:rPr>
          <w:instrText xml:space="preserve"> PAGEREF _Toc214456852 \h </w:instrText>
        </w:r>
        <w:r>
          <w:rPr>
            <w:noProof/>
            <w:webHidden/>
          </w:rPr>
        </w:r>
        <w:r>
          <w:rPr>
            <w:noProof/>
            <w:webHidden/>
          </w:rPr>
          <w:fldChar w:fldCharType="separate"/>
        </w:r>
        <w:r>
          <w:rPr>
            <w:noProof/>
            <w:webHidden/>
          </w:rPr>
          <w:t>79</w:t>
        </w:r>
        <w:r>
          <w:rPr>
            <w:noProof/>
            <w:webHidden/>
          </w:rPr>
          <w:fldChar w:fldCharType="end"/>
        </w:r>
      </w:hyperlink>
    </w:p>
    <w:p w14:paraId="2A2FF648" w14:textId="00448091" w:rsidR="001A7EE4" w:rsidRDefault="001A7EE4">
      <w:pPr>
        <w:pStyle w:val="TOC4"/>
        <w:rPr>
          <w:rFonts w:eastAsiaTheme="minorEastAsia"/>
          <w:smallCaps w:val="0"/>
          <w:noProof/>
          <w:kern w:val="2"/>
          <w:sz w:val="24"/>
          <w:szCs w:val="24"/>
          <w:lang w:val="en-US" w:eastAsia="en-US" w:bidi="ar-SA"/>
          <w14:ligatures w14:val="standardContextual"/>
        </w:rPr>
      </w:pPr>
      <w:hyperlink w:anchor="_Toc214456853" w:history="1">
        <w:r w:rsidRPr="004460C9">
          <w:rPr>
            <w:rStyle w:val="Hyperlink"/>
            <w:noProof/>
          </w:rPr>
          <w:t>Modelos do Azure AI Foundry</w:t>
        </w:r>
        <w:r>
          <w:rPr>
            <w:noProof/>
            <w:webHidden/>
          </w:rPr>
          <w:tab/>
        </w:r>
        <w:r>
          <w:rPr>
            <w:noProof/>
            <w:webHidden/>
          </w:rPr>
          <w:fldChar w:fldCharType="begin"/>
        </w:r>
        <w:r>
          <w:rPr>
            <w:noProof/>
            <w:webHidden/>
          </w:rPr>
          <w:instrText xml:space="preserve"> PAGEREF _Toc214456853 \h </w:instrText>
        </w:r>
        <w:r>
          <w:rPr>
            <w:noProof/>
            <w:webHidden/>
          </w:rPr>
        </w:r>
        <w:r>
          <w:rPr>
            <w:noProof/>
            <w:webHidden/>
          </w:rPr>
          <w:fldChar w:fldCharType="separate"/>
        </w:r>
        <w:r>
          <w:rPr>
            <w:noProof/>
            <w:webHidden/>
          </w:rPr>
          <w:t>80</w:t>
        </w:r>
        <w:r>
          <w:rPr>
            <w:noProof/>
            <w:webHidden/>
          </w:rPr>
          <w:fldChar w:fldCharType="end"/>
        </w:r>
      </w:hyperlink>
    </w:p>
    <w:p w14:paraId="0D07E706" w14:textId="594595F4" w:rsidR="001A7EE4" w:rsidRDefault="001A7EE4">
      <w:pPr>
        <w:pStyle w:val="TOC4"/>
        <w:rPr>
          <w:rFonts w:eastAsiaTheme="minorEastAsia"/>
          <w:smallCaps w:val="0"/>
          <w:noProof/>
          <w:kern w:val="2"/>
          <w:sz w:val="24"/>
          <w:szCs w:val="24"/>
          <w:lang w:val="en-US" w:eastAsia="en-US" w:bidi="ar-SA"/>
          <w14:ligatures w14:val="standardContextual"/>
        </w:rPr>
      </w:pPr>
      <w:hyperlink w:anchor="_Toc214456854" w:history="1">
        <w:r w:rsidRPr="004460C9">
          <w:rPr>
            <w:rStyle w:val="Hyperlink"/>
            <w:rFonts w:ascii="Calibri Light" w:hAnsi="Calibri Light" w:cs="Calibri Light"/>
            <w:noProof/>
          </w:rPr>
          <w:t>Replicação de Objetos – Replicação com Prioridade</w:t>
        </w:r>
        <w:r>
          <w:rPr>
            <w:noProof/>
            <w:webHidden/>
          </w:rPr>
          <w:tab/>
        </w:r>
        <w:r>
          <w:rPr>
            <w:noProof/>
            <w:webHidden/>
          </w:rPr>
          <w:fldChar w:fldCharType="begin"/>
        </w:r>
        <w:r>
          <w:rPr>
            <w:noProof/>
            <w:webHidden/>
          </w:rPr>
          <w:instrText xml:space="preserve"> PAGEREF _Toc214456854 \h </w:instrText>
        </w:r>
        <w:r>
          <w:rPr>
            <w:noProof/>
            <w:webHidden/>
          </w:rPr>
        </w:r>
        <w:r>
          <w:rPr>
            <w:noProof/>
            <w:webHidden/>
          </w:rPr>
          <w:fldChar w:fldCharType="separate"/>
        </w:r>
        <w:r>
          <w:rPr>
            <w:noProof/>
            <w:webHidden/>
          </w:rPr>
          <w:t>81</w:t>
        </w:r>
        <w:r>
          <w:rPr>
            <w:noProof/>
            <w:webHidden/>
          </w:rPr>
          <w:fldChar w:fldCharType="end"/>
        </w:r>
      </w:hyperlink>
    </w:p>
    <w:p w14:paraId="033693DF" w14:textId="77A7AEDB" w:rsidR="001A7EE4" w:rsidRDefault="001A7EE4">
      <w:pPr>
        <w:pStyle w:val="TOC4"/>
        <w:rPr>
          <w:rFonts w:eastAsiaTheme="minorEastAsia"/>
          <w:smallCaps w:val="0"/>
          <w:noProof/>
          <w:kern w:val="2"/>
          <w:sz w:val="24"/>
          <w:szCs w:val="24"/>
          <w:lang w:val="en-US" w:eastAsia="en-US" w:bidi="ar-SA"/>
          <w14:ligatures w14:val="standardContextual"/>
        </w:rPr>
      </w:pPr>
      <w:hyperlink w:anchor="_Toc214456855" w:history="1">
        <w:r w:rsidRPr="004460C9">
          <w:rPr>
            <w:rStyle w:val="Hyperlink"/>
            <w:noProof/>
          </w:rPr>
          <w:t>Azure Operator Service Manager</w:t>
        </w:r>
        <w:r>
          <w:rPr>
            <w:noProof/>
            <w:webHidden/>
          </w:rPr>
          <w:tab/>
        </w:r>
        <w:r>
          <w:rPr>
            <w:noProof/>
            <w:webHidden/>
          </w:rPr>
          <w:fldChar w:fldCharType="begin"/>
        </w:r>
        <w:r>
          <w:rPr>
            <w:noProof/>
            <w:webHidden/>
          </w:rPr>
          <w:instrText xml:space="preserve"> PAGEREF _Toc214456855 \h </w:instrText>
        </w:r>
        <w:r>
          <w:rPr>
            <w:noProof/>
            <w:webHidden/>
          </w:rPr>
        </w:r>
        <w:r>
          <w:rPr>
            <w:noProof/>
            <w:webHidden/>
          </w:rPr>
          <w:fldChar w:fldCharType="separate"/>
        </w:r>
        <w:r>
          <w:rPr>
            <w:noProof/>
            <w:webHidden/>
          </w:rPr>
          <w:t>82</w:t>
        </w:r>
        <w:r>
          <w:rPr>
            <w:noProof/>
            <w:webHidden/>
          </w:rPr>
          <w:fldChar w:fldCharType="end"/>
        </w:r>
      </w:hyperlink>
    </w:p>
    <w:p w14:paraId="5FD37873" w14:textId="5640890A" w:rsidR="001A7EE4" w:rsidRDefault="001A7EE4">
      <w:pPr>
        <w:pStyle w:val="TOC4"/>
        <w:rPr>
          <w:rFonts w:eastAsiaTheme="minorEastAsia"/>
          <w:smallCaps w:val="0"/>
          <w:noProof/>
          <w:kern w:val="2"/>
          <w:sz w:val="24"/>
          <w:szCs w:val="24"/>
          <w:lang w:val="en-US" w:eastAsia="en-US" w:bidi="ar-SA"/>
          <w14:ligatures w14:val="standardContextual"/>
        </w:rPr>
      </w:pPr>
      <w:hyperlink w:anchor="_Toc214456856" w:history="1">
        <w:r w:rsidRPr="004460C9">
          <w:rPr>
            <w:rStyle w:val="Hyperlink"/>
            <w:noProof/>
          </w:rPr>
          <w:t>Estação Terrestre do Azure Orbital</w:t>
        </w:r>
        <w:r>
          <w:rPr>
            <w:noProof/>
            <w:webHidden/>
          </w:rPr>
          <w:tab/>
        </w:r>
        <w:r>
          <w:rPr>
            <w:noProof/>
            <w:webHidden/>
          </w:rPr>
          <w:fldChar w:fldCharType="begin"/>
        </w:r>
        <w:r>
          <w:rPr>
            <w:noProof/>
            <w:webHidden/>
          </w:rPr>
          <w:instrText xml:space="preserve"> PAGEREF _Toc214456856 \h </w:instrText>
        </w:r>
        <w:r>
          <w:rPr>
            <w:noProof/>
            <w:webHidden/>
          </w:rPr>
        </w:r>
        <w:r>
          <w:rPr>
            <w:noProof/>
            <w:webHidden/>
          </w:rPr>
          <w:fldChar w:fldCharType="separate"/>
        </w:r>
        <w:r>
          <w:rPr>
            <w:noProof/>
            <w:webHidden/>
          </w:rPr>
          <w:t>82</w:t>
        </w:r>
        <w:r>
          <w:rPr>
            <w:noProof/>
            <w:webHidden/>
          </w:rPr>
          <w:fldChar w:fldCharType="end"/>
        </w:r>
      </w:hyperlink>
    </w:p>
    <w:p w14:paraId="4EC0B496" w14:textId="26924BAA" w:rsidR="001A7EE4" w:rsidRDefault="001A7EE4">
      <w:pPr>
        <w:pStyle w:val="TOC4"/>
        <w:rPr>
          <w:rFonts w:eastAsiaTheme="minorEastAsia"/>
          <w:smallCaps w:val="0"/>
          <w:noProof/>
          <w:kern w:val="2"/>
          <w:sz w:val="24"/>
          <w:szCs w:val="24"/>
          <w:lang w:val="en-US" w:eastAsia="en-US" w:bidi="ar-SA"/>
          <w14:ligatures w14:val="standardContextual"/>
        </w:rPr>
      </w:pPr>
      <w:hyperlink w:anchor="_Toc214456857" w:history="1">
        <w:r w:rsidRPr="004460C9">
          <w:rPr>
            <w:rStyle w:val="Hyperlink"/>
            <w:noProof/>
          </w:rPr>
          <w:t>Microsoft Playwright Testing</w:t>
        </w:r>
        <w:r>
          <w:rPr>
            <w:noProof/>
            <w:webHidden/>
          </w:rPr>
          <w:tab/>
        </w:r>
        <w:r>
          <w:rPr>
            <w:noProof/>
            <w:webHidden/>
          </w:rPr>
          <w:fldChar w:fldCharType="begin"/>
        </w:r>
        <w:r>
          <w:rPr>
            <w:noProof/>
            <w:webHidden/>
          </w:rPr>
          <w:instrText xml:space="preserve"> PAGEREF _Toc214456857 \h </w:instrText>
        </w:r>
        <w:r>
          <w:rPr>
            <w:noProof/>
            <w:webHidden/>
          </w:rPr>
        </w:r>
        <w:r>
          <w:rPr>
            <w:noProof/>
            <w:webHidden/>
          </w:rPr>
          <w:fldChar w:fldCharType="separate"/>
        </w:r>
        <w:r>
          <w:rPr>
            <w:noProof/>
            <w:webHidden/>
          </w:rPr>
          <w:t>83</w:t>
        </w:r>
        <w:r>
          <w:rPr>
            <w:noProof/>
            <w:webHidden/>
          </w:rPr>
          <w:fldChar w:fldCharType="end"/>
        </w:r>
      </w:hyperlink>
    </w:p>
    <w:p w14:paraId="51DCC30C" w14:textId="641731DC" w:rsidR="001A7EE4" w:rsidRDefault="001A7EE4">
      <w:pPr>
        <w:pStyle w:val="TOC4"/>
        <w:rPr>
          <w:rFonts w:eastAsiaTheme="minorEastAsia"/>
          <w:smallCaps w:val="0"/>
          <w:noProof/>
          <w:kern w:val="2"/>
          <w:sz w:val="24"/>
          <w:szCs w:val="24"/>
          <w:lang w:val="en-US" w:eastAsia="en-US" w:bidi="ar-SA"/>
          <w14:ligatures w14:val="standardContextual"/>
        </w:rPr>
      </w:pPr>
      <w:hyperlink w:anchor="_Toc214456858" w:history="1">
        <w:r w:rsidRPr="004460C9">
          <w:rPr>
            <w:rStyle w:val="Hyperlink"/>
            <w:noProof/>
          </w:rPr>
          <w:t>Azure Private Link</w:t>
        </w:r>
        <w:r>
          <w:rPr>
            <w:noProof/>
            <w:webHidden/>
          </w:rPr>
          <w:tab/>
        </w:r>
        <w:r>
          <w:rPr>
            <w:noProof/>
            <w:webHidden/>
          </w:rPr>
          <w:fldChar w:fldCharType="begin"/>
        </w:r>
        <w:r>
          <w:rPr>
            <w:noProof/>
            <w:webHidden/>
          </w:rPr>
          <w:instrText xml:space="preserve"> PAGEREF _Toc214456858 \h </w:instrText>
        </w:r>
        <w:r>
          <w:rPr>
            <w:noProof/>
            <w:webHidden/>
          </w:rPr>
        </w:r>
        <w:r>
          <w:rPr>
            <w:noProof/>
            <w:webHidden/>
          </w:rPr>
          <w:fldChar w:fldCharType="separate"/>
        </w:r>
        <w:r>
          <w:rPr>
            <w:noProof/>
            <w:webHidden/>
          </w:rPr>
          <w:t>83</w:t>
        </w:r>
        <w:r>
          <w:rPr>
            <w:noProof/>
            <w:webHidden/>
          </w:rPr>
          <w:fldChar w:fldCharType="end"/>
        </w:r>
      </w:hyperlink>
    </w:p>
    <w:p w14:paraId="1D33740F" w14:textId="105940EC" w:rsidR="001A7EE4" w:rsidRDefault="001A7EE4">
      <w:pPr>
        <w:pStyle w:val="TOC4"/>
        <w:rPr>
          <w:rFonts w:eastAsiaTheme="minorEastAsia"/>
          <w:smallCaps w:val="0"/>
          <w:noProof/>
          <w:kern w:val="2"/>
          <w:sz w:val="24"/>
          <w:szCs w:val="24"/>
          <w:lang w:val="en-US" w:eastAsia="en-US" w:bidi="ar-SA"/>
          <w14:ligatures w14:val="standardContextual"/>
        </w:rPr>
      </w:pPr>
      <w:hyperlink w:anchor="_Toc214456859" w:history="1">
        <w:r w:rsidRPr="004460C9">
          <w:rPr>
            <w:rStyle w:val="Hyperlink"/>
            <w:noProof/>
          </w:rPr>
          <w:t>Microsoft Purview</w:t>
        </w:r>
        <w:r>
          <w:rPr>
            <w:noProof/>
            <w:webHidden/>
          </w:rPr>
          <w:tab/>
        </w:r>
        <w:r>
          <w:rPr>
            <w:noProof/>
            <w:webHidden/>
          </w:rPr>
          <w:fldChar w:fldCharType="begin"/>
        </w:r>
        <w:r>
          <w:rPr>
            <w:noProof/>
            <w:webHidden/>
          </w:rPr>
          <w:instrText xml:space="preserve"> PAGEREF _Toc214456859 \h </w:instrText>
        </w:r>
        <w:r>
          <w:rPr>
            <w:noProof/>
            <w:webHidden/>
          </w:rPr>
        </w:r>
        <w:r>
          <w:rPr>
            <w:noProof/>
            <w:webHidden/>
          </w:rPr>
          <w:fldChar w:fldCharType="separate"/>
        </w:r>
        <w:r>
          <w:rPr>
            <w:noProof/>
            <w:webHidden/>
          </w:rPr>
          <w:t>84</w:t>
        </w:r>
        <w:r>
          <w:rPr>
            <w:noProof/>
            <w:webHidden/>
          </w:rPr>
          <w:fldChar w:fldCharType="end"/>
        </w:r>
      </w:hyperlink>
    </w:p>
    <w:p w14:paraId="59F82EFA" w14:textId="1B04F808" w:rsidR="001A7EE4" w:rsidRDefault="001A7EE4">
      <w:pPr>
        <w:pStyle w:val="TOC4"/>
        <w:rPr>
          <w:rFonts w:eastAsiaTheme="minorEastAsia"/>
          <w:smallCaps w:val="0"/>
          <w:noProof/>
          <w:kern w:val="2"/>
          <w:sz w:val="24"/>
          <w:szCs w:val="24"/>
          <w:lang w:val="en-US" w:eastAsia="en-US" w:bidi="ar-SA"/>
          <w14:ligatures w14:val="standardContextual"/>
        </w:rPr>
      </w:pPr>
      <w:hyperlink w:anchor="_Toc214456860" w:history="1">
        <w:r w:rsidRPr="004460C9">
          <w:rPr>
            <w:rStyle w:val="Hyperlink"/>
            <w:noProof/>
          </w:rPr>
          <w:t>Azure Red Hat OpenShift</w:t>
        </w:r>
        <w:r>
          <w:rPr>
            <w:noProof/>
            <w:webHidden/>
          </w:rPr>
          <w:tab/>
        </w:r>
        <w:r>
          <w:rPr>
            <w:noProof/>
            <w:webHidden/>
          </w:rPr>
          <w:fldChar w:fldCharType="begin"/>
        </w:r>
        <w:r>
          <w:rPr>
            <w:noProof/>
            <w:webHidden/>
          </w:rPr>
          <w:instrText xml:space="preserve"> PAGEREF _Toc214456860 \h </w:instrText>
        </w:r>
        <w:r>
          <w:rPr>
            <w:noProof/>
            <w:webHidden/>
          </w:rPr>
        </w:r>
        <w:r>
          <w:rPr>
            <w:noProof/>
            <w:webHidden/>
          </w:rPr>
          <w:fldChar w:fldCharType="separate"/>
        </w:r>
        <w:r>
          <w:rPr>
            <w:noProof/>
            <w:webHidden/>
          </w:rPr>
          <w:t>84</w:t>
        </w:r>
        <w:r>
          <w:rPr>
            <w:noProof/>
            <w:webHidden/>
          </w:rPr>
          <w:fldChar w:fldCharType="end"/>
        </w:r>
      </w:hyperlink>
    </w:p>
    <w:p w14:paraId="212F0A42" w14:textId="6870511A" w:rsidR="001A7EE4" w:rsidRDefault="001A7EE4">
      <w:pPr>
        <w:pStyle w:val="TOC4"/>
        <w:rPr>
          <w:rFonts w:eastAsiaTheme="minorEastAsia"/>
          <w:smallCaps w:val="0"/>
          <w:noProof/>
          <w:kern w:val="2"/>
          <w:sz w:val="24"/>
          <w:szCs w:val="24"/>
          <w:lang w:val="en-US" w:eastAsia="en-US" w:bidi="ar-SA"/>
          <w14:ligatures w14:val="standardContextual"/>
        </w:rPr>
      </w:pPr>
      <w:hyperlink w:anchor="_Toc214456861" w:history="1">
        <w:r w:rsidRPr="004460C9">
          <w:rPr>
            <w:rStyle w:val="Hyperlink"/>
            <w:noProof/>
          </w:rPr>
          <w:t>Composição Remota</w:t>
        </w:r>
        <w:r>
          <w:rPr>
            <w:noProof/>
            <w:webHidden/>
          </w:rPr>
          <w:tab/>
        </w:r>
        <w:r>
          <w:rPr>
            <w:noProof/>
            <w:webHidden/>
          </w:rPr>
          <w:fldChar w:fldCharType="begin"/>
        </w:r>
        <w:r>
          <w:rPr>
            <w:noProof/>
            <w:webHidden/>
          </w:rPr>
          <w:instrText xml:space="preserve"> PAGEREF _Toc214456861 \h </w:instrText>
        </w:r>
        <w:r>
          <w:rPr>
            <w:noProof/>
            <w:webHidden/>
          </w:rPr>
        </w:r>
        <w:r>
          <w:rPr>
            <w:noProof/>
            <w:webHidden/>
          </w:rPr>
          <w:fldChar w:fldCharType="separate"/>
        </w:r>
        <w:r>
          <w:rPr>
            <w:noProof/>
            <w:webHidden/>
          </w:rPr>
          <w:t>85</w:t>
        </w:r>
        <w:r>
          <w:rPr>
            <w:noProof/>
            <w:webHidden/>
          </w:rPr>
          <w:fldChar w:fldCharType="end"/>
        </w:r>
      </w:hyperlink>
    </w:p>
    <w:p w14:paraId="24A94CDC" w14:textId="4863F41B" w:rsidR="001A7EE4" w:rsidRDefault="001A7EE4">
      <w:pPr>
        <w:pStyle w:val="TOC4"/>
        <w:rPr>
          <w:rFonts w:eastAsiaTheme="minorEastAsia"/>
          <w:smallCaps w:val="0"/>
          <w:noProof/>
          <w:kern w:val="2"/>
          <w:sz w:val="24"/>
          <w:szCs w:val="24"/>
          <w:lang w:val="en-US" w:eastAsia="en-US" w:bidi="ar-SA"/>
          <w14:ligatures w14:val="standardContextual"/>
        </w:rPr>
      </w:pPr>
      <w:hyperlink w:anchor="_Toc214456862" w:history="1">
        <w:r w:rsidRPr="004460C9">
          <w:rPr>
            <w:rStyle w:val="Hyperlink"/>
            <w:noProof/>
          </w:rPr>
          <w:t>Azure Route Server</w:t>
        </w:r>
        <w:r>
          <w:rPr>
            <w:noProof/>
            <w:webHidden/>
          </w:rPr>
          <w:tab/>
        </w:r>
        <w:r>
          <w:rPr>
            <w:noProof/>
            <w:webHidden/>
          </w:rPr>
          <w:fldChar w:fldCharType="begin"/>
        </w:r>
        <w:r>
          <w:rPr>
            <w:noProof/>
            <w:webHidden/>
          </w:rPr>
          <w:instrText xml:space="preserve"> PAGEREF _Toc214456862 \h </w:instrText>
        </w:r>
        <w:r>
          <w:rPr>
            <w:noProof/>
            <w:webHidden/>
          </w:rPr>
        </w:r>
        <w:r>
          <w:rPr>
            <w:noProof/>
            <w:webHidden/>
          </w:rPr>
          <w:fldChar w:fldCharType="separate"/>
        </w:r>
        <w:r>
          <w:rPr>
            <w:noProof/>
            <w:webHidden/>
          </w:rPr>
          <w:t>85</w:t>
        </w:r>
        <w:r>
          <w:rPr>
            <w:noProof/>
            <w:webHidden/>
          </w:rPr>
          <w:fldChar w:fldCharType="end"/>
        </w:r>
      </w:hyperlink>
    </w:p>
    <w:p w14:paraId="0DF66752" w14:textId="1DA690D8" w:rsidR="001A7EE4" w:rsidRDefault="001A7EE4">
      <w:pPr>
        <w:pStyle w:val="TOC4"/>
        <w:rPr>
          <w:rFonts w:eastAsiaTheme="minorEastAsia"/>
          <w:smallCaps w:val="0"/>
          <w:noProof/>
          <w:kern w:val="2"/>
          <w:sz w:val="24"/>
          <w:szCs w:val="24"/>
          <w:lang w:val="en-US" w:eastAsia="en-US" w:bidi="ar-SA"/>
          <w14:ligatures w14:val="standardContextual"/>
        </w:rPr>
      </w:pPr>
      <w:hyperlink w:anchor="_Toc214456863" w:history="1">
        <w:r w:rsidRPr="004460C9">
          <w:rPr>
            <w:rStyle w:val="Hyperlink"/>
            <w:noProof/>
          </w:rPr>
          <w:t>SAP HANA em Grandes Instâncias do Azure</w:t>
        </w:r>
        <w:r>
          <w:rPr>
            <w:noProof/>
            <w:webHidden/>
          </w:rPr>
          <w:tab/>
        </w:r>
        <w:r>
          <w:rPr>
            <w:noProof/>
            <w:webHidden/>
          </w:rPr>
          <w:fldChar w:fldCharType="begin"/>
        </w:r>
        <w:r>
          <w:rPr>
            <w:noProof/>
            <w:webHidden/>
          </w:rPr>
          <w:instrText xml:space="preserve"> PAGEREF _Toc214456863 \h </w:instrText>
        </w:r>
        <w:r>
          <w:rPr>
            <w:noProof/>
            <w:webHidden/>
          </w:rPr>
        </w:r>
        <w:r>
          <w:rPr>
            <w:noProof/>
            <w:webHidden/>
          </w:rPr>
          <w:fldChar w:fldCharType="separate"/>
        </w:r>
        <w:r>
          <w:rPr>
            <w:noProof/>
            <w:webHidden/>
          </w:rPr>
          <w:t>86</w:t>
        </w:r>
        <w:r>
          <w:rPr>
            <w:noProof/>
            <w:webHidden/>
          </w:rPr>
          <w:fldChar w:fldCharType="end"/>
        </w:r>
      </w:hyperlink>
    </w:p>
    <w:p w14:paraId="40E66EA2" w14:textId="5DE4F34A" w:rsidR="001A7EE4" w:rsidRDefault="001A7EE4">
      <w:pPr>
        <w:pStyle w:val="TOC4"/>
        <w:rPr>
          <w:rFonts w:eastAsiaTheme="minorEastAsia"/>
          <w:smallCaps w:val="0"/>
          <w:noProof/>
          <w:kern w:val="2"/>
          <w:sz w:val="24"/>
          <w:szCs w:val="24"/>
          <w:lang w:val="en-US" w:eastAsia="en-US" w:bidi="ar-SA"/>
          <w14:ligatures w14:val="standardContextual"/>
        </w:rPr>
      </w:pPr>
      <w:hyperlink w:anchor="_Toc214456864" w:history="1">
        <w:r w:rsidRPr="004460C9">
          <w:rPr>
            <w:rStyle w:val="Hyperlink"/>
            <w:noProof/>
          </w:rPr>
          <w:t>Scheduler</w:t>
        </w:r>
        <w:r>
          <w:rPr>
            <w:noProof/>
            <w:webHidden/>
          </w:rPr>
          <w:tab/>
        </w:r>
        <w:r>
          <w:rPr>
            <w:noProof/>
            <w:webHidden/>
          </w:rPr>
          <w:fldChar w:fldCharType="begin"/>
        </w:r>
        <w:r>
          <w:rPr>
            <w:noProof/>
            <w:webHidden/>
          </w:rPr>
          <w:instrText xml:space="preserve"> PAGEREF _Toc214456864 \h </w:instrText>
        </w:r>
        <w:r>
          <w:rPr>
            <w:noProof/>
            <w:webHidden/>
          </w:rPr>
        </w:r>
        <w:r>
          <w:rPr>
            <w:noProof/>
            <w:webHidden/>
          </w:rPr>
          <w:fldChar w:fldCharType="separate"/>
        </w:r>
        <w:r>
          <w:rPr>
            <w:noProof/>
            <w:webHidden/>
          </w:rPr>
          <w:t>87</w:t>
        </w:r>
        <w:r>
          <w:rPr>
            <w:noProof/>
            <w:webHidden/>
          </w:rPr>
          <w:fldChar w:fldCharType="end"/>
        </w:r>
      </w:hyperlink>
    </w:p>
    <w:p w14:paraId="632F1F61" w14:textId="0D990666" w:rsidR="001A7EE4" w:rsidRDefault="001A7EE4">
      <w:pPr>
        <w:pStyle w:val="TOC4"/>
        <w:rPr>
          <w:rFonts w:eastAsiaTheme="minorEastAsia"/>
          <w:smallCaps w:val="0"/>
          <w:noProof/>
          <w:kern w:val="2"/>
          <w:sz w:val="24"/>
          <w:szCs w:val="24"/>
          <w:lang w:val="en-US" w:eastAsia="en-US" w:bidi="ar-SA"/>
          <w14:ligatures w14:val="standardContextual"/>
        </w:rPr>
      </w:pPr>
      <w:hyperlink w:anchor="_Toc214456865" w:history="1">
        <w:r w:rsidRPr="004460C9">
          <w:rPr>
            <w:rStyle w:val="Hyperlink"/>
            <w:noProof/>
          </w:rPr>
          <w:t>Barramento de Serviço</w:t>
        </w:r>
        <w:r>
          <w:rPr>
            <w:noProof/>
            <w:webHidden/>
          </w:rPr>
          <w:tab/>
        </w:r>
        <w:r>
          <w:rPr>
            <w:noProof/>
            <w:webHidden/>
          </w:rPr>
          <w:fldChar w:fldCharType="begin"/>
        </w:r>
        <w:r>
          <w:rPr>
            <w:noProof/>
            <w:webHidden/>
          </w:rPr>
          <w:instrText xml:space="preserve"> PAGEREF _Toc214456865 \h </w:instrText>
        </w:r>
        <w:r>
          <w:rPr>
            <w:noProof/>
            <w:webHidden/>
          </w:rPr>
        </w:r>
        <w:r>
          <w:rPr>
            <w:noProof/>
            <w:webHidden/>
          </w:rPr>
          <w:fldChar w:fldCharType="separate"/>
        </w:r>
        <w:r>
          <w:rPr>
            <w:noProof/>
            <w:webHidden/>
          </w:rPr>
          <w:t>87</w:t>
        </w:r>
        <w:r>
          <w:rPr>
            <w:noProof/>
            <w:webHidden/>
          </w:rPr>
          <w:fldChar w:fldCharType="end"/>
        </w:r>
      </w:hyperlink>
    </w:p>
    <w:p w14:paraId="21D3C6F9" w14:textId="3EAE9967" w:rsidR="001A7EE4" w:rsidRDefault="001A7EE4">
      <w:pPr>
        <w:pStyle w:val="TOC4"/>
        <w:rPr>
          <w:rFonts w:eastAsiaTheme="minorEastAsia"/>
          <w:smallCaps w:val="0"/>
          <w:noProof/>
          <w:kern w:val="2"/>
          <w:sz w:val="24"/>
          <w:szCs w:val="24"/>
          <w:lang w:val="en-US" w:eastAsia="en-US" w:bidi="ar-SA"/>
          <w14:ligatures w14:val="standardContextual"/>
        </w:rPr>
      </w:pPr>
      <w:hyperlink w:anchor="_Toc214456866" w:history="1">
        <w:r w:rsidRPr="004460C9">
          <w:rPr>
            <w:rStyle w:val="Hyperlink"/>
            <w:noProof/>
          </w:rPr>
          <w:t>Azure SignalR Service</w:t>
        </w:r>
        <w:r>
          <w:rPr>
            <w:noProof/>
            <w:webHidden/>
          </w:rPr>
          <w:tab/>
        </w:r>
        <w:r>
          <w:rPr>
            <w:noProof/>
            <w:webHidden/>
          </w:rPr>
          <w:fldChar w:fldCharType="begin"/>
        </w:r>
        <w:r>
          <w:rPr>
            <w:noProof/>
            <w:webHidden/>
          </w:rPr>
          <w:instrText xml:space="preserve"> PAGEREF _Toc214456866 \h </w:instrText>
        </w:r>
        <w:r>
          <w:rPr>
            <w:noProof/>
            <w:webHidden/>
          </w:rPr>
        </w:r>
        <w:r>
          <w:rPr>
            <w:noProof/>
            <w:webHidden/>
          </w:rPr>
          <w:fldChar w:fldCharType="separate"/>
        </w:r>
        <w:r>
          <w:rPr>
            <w:noProof/>
            <w:webHidden/>
          </w:rPr>
          <w:t>88</w:t>
        </w:r>
        <w:r>
          <w:rPr>
            <w:noProof/>
            <w:webHidden/>
          </w:rPr>
          <w:fldChar w:fldCharType="end"/>
        </w:r>
      </w:hyperlink>
    </w:p>
    <w:p w14:paraId="5485062A" w14:textId="6C3E5BA5" w:rsidR="001A7EE4" w:rsidRDefault="001A7EE4">
      <w:pPr>
        <w:pStyle w:val="TOC4"/>
        <w:rPr>
          <w:rFonts w:eastAsiaTheme="minorEastAsia"/>
          <w:smallCaps w:val="0"/>
          <w:noProof/>
          <w:kern w:val="2"/>
          <w:sz w:val="24"/>
          <w:szCs w:val="24"/>
          <w:lang w:val="en-US" w:eastAsia="en-US" w:bidi="ar-SA"/>
          <w14:ligatures w14:val="standardContextual"/>
        </w:rPr>
      </w:pPr>
      <w:hyperlink w:anchor="_Toc214456867" w:history="1">
        <w:r w:rsidRPr="004460C9">
          <w:rPr>
            <w:rStyle w:val="Hyperlink"/>
            <w:noProof/>
          </w:rPr>
          <w:t>Azure Site Recovery</w:t>
        </w:r>
        <w:r>
          <w:rPr>
            <w:noProof/>
            <w:webHidden/>
          </w:rPr>
          <w:tab/>
        </w:r>
        <w:r>
          <w:rPr>
            <w:noProof/>
            <w:webHidden/>
          </w:rPr>
          <w:fldChar w:fldCharType="begin"/>
        </w:r>
        <w:r>
          <w:rPr>
            <w:noProof/>
            <w:webHidden/>
          </w:rPr>
          <w:instrText xml:space="preserve"> PAGEREF _Toc214456867 \h </w:instrText>
        </w:r>
        <w:r>
          <w:rPr>
            <w:noProof/>
            <w:webHidden/>
          </w:rPr>
        </w:r>
        <w:r>
          <w:rPr>
            <w:noProof/>
            <w:webHidden/>
          </w:rPr>
          <w:fldChar w:fldCharType="separate"/>
        </w:r>
        <w:r>
          <w:rPr>
            <w:noProof/>
            <w:webHidden/>
          </w:rPr>
          <w:t>89</w:t>
        </w:r>
        <w:r>
          <w:rPr>
            <w:noProof/>
            <w:webHidden/>
          </w:rPr>
          <w:fldChar w:fldCharType="end"/>
        </w:r>
      </w:hyperlink>
    </w:p>
    <w:p w14:paraId="0E4A4C95" w14:textId="7C7622F6" w:rsidR="001A7EE4" w:rsidRDefault="001A7EE4">
      <w:pPr>
        <w:pStyle w:val="TOC4"/>
        <w:rPr>
          <w:rFonts w:eastAsiaTheme="minorEastAsia"/>
          <w:smallCaps w:val="0"/>
          <w:noProof/>
          <w:kern w:val="2"/>
          <w:sz w:val="24"/>
          <w:szCs w:val="24"/>
          <w:lang w:val="en-US" w:eastAsia="en-US" w:bidi="ar-SA"/>
          <w14:ligatures w14:val="standardContextual"/>
        </w:rPr>
      </w:pPr>
      <w:hyperlink w:anchor="_Toc214456868" w:history="1">
        <w:r w:rsidRPr="004460C9">
          <w:rPr>
            <w:rStyle w:val="Hyperlink"/>
            <w:noProof/>
          </w:rPr>
          <w:t>Spatial Anchors</w:t>
        </w:r>
        <w:r>
          <w:rPr>
            <w:noProof/>
            <w:webHidden/>
          </w:rPr>
          <w:tab/>
        </w:r>
        <w:r>
          <w:rPr>
            <w:noProof/>
            <w:webHidden/>
          </w:rPr>
          <w:fldChar w:fldCharType="begin"/>
        </w:r>
        <w:r>
          <w:rPr>
            <w:noProof/>
            <w:webHidden/>
          </w:rPr>
          <w:instrText xml:space="preserve"> PAGEREF _Toc214456868 \h </w:instrText>
        </w:r>
        <w:r>
          <w:rPr>
            <w:noProof/>
            <w:webHidden/>
          </w:rPr>
        </w:r>
        <w:r>
          <w:rPr>
            <w:noProof/>
            <w:webHidden/>
          </w:rPr>
          <w:fldChar w:fldCharType="separate"/>
        </w:r>
        <w:r>
          <w:rPr>
            <w:noProof/>
            <w:webHidden/>
          </w:rPr>
          <w:t>90</w:t>
        </w:r>
        <w:r>
          <w:rPr>
            <w:noProof/>
            <w:webHidden/>
          </w:rPr>
          <w:fldChar w:fldCharType="end"/>
        </w:r>
      </w:hyperlink>
    </w:p>
    <w:p w14:paraId="5368A301" w14:textId="2FD79A00" w:rsidR="001A7EE4" w:rsidRDefault="001A7EE4">
      <w:pPr>
        <w:pStyle w:val="TOC4"/>
        <w:rPr>
          <w:rFonts w:eastAsiaTheme="minorEastAsia"/>
          <w:smallCaps w:val="0"/>
          <w:noProof/>
          <w:kern w:val="2"/>
          <w:sz w:val="24"/>
          <w:szCs w:val="24"/>
          <w:lang w:val="en-US" w:eastAsia="en-US" w:bidi="ar-SA"/>
          <w14:ligatures w14:val="standardContextual"/>
        </w:rPr>
      </w:pPr>
      <w:hyperlink w:anchor="_Toc214456869" w:history="1">
        <w:r w:rsidRPr="004460C9">
          <w:rPr>
            <w:rStyle w:val="Hyperlink"/>
            <w:noProof/>
          </w:rPr>
          <w:t>Azure Spring Apps</w:t>
        </w:r>
        <w:r>
          <w:rPr>
            <w:noProof/>
            <w:webHidden/>
          </w:rPr>
          <w:tab/>
        </w:r>
        <w:r>
          <w:rPr>
            <w:noProof/>
            <w:webHidden/>
          </w:rPr>
          <w:fldChar w:fldCharType="begin"/>
        </w:r>
        <w:r>
          <w:rPr>
            <w:noProof/>
            <w:webHidden/>
          </w:rPr>
          <w:instrText xml:space="preserve"> PAGEREF _Toc214456869 \h </w:instrText>
        </w:r>
        <w:r>
          <w:rPr>
            <w:noProof/>
            <w:webHidden/>
          </w:rPr>
        </w:r>
        <w:r>
          <w:rPr>
            <w:noProof/>
            <w:webHidden/>
          </w:rPr>
          <w:fldChar w:fldCharType="separate"/>
        </w:r>
        <w:r>
          <w:rPr>
            <w:noProof/>
            <w:webHidden/>
          </w:rPr>
          <w:t>90</w:t>
        </w:r>
        <w:r>
          <w:rPr>
            <w:noProof/>
            <w:webHidden/>
          </w:rPr>
          <w:fldChar w:fldCharType="end"/>
        </w:r>
      </w:hyperlink>
    </w:p>
    <w:p w14:paraId="70424403" w14:textId="75649E30" w:rsidR="001A7EE4" w:rsidRDefault="001A7EE4">
      <w:pPr>
        <w:pStyle w:val="TOC4"/>
        <w:rPr>
          <w:rFonts w:eastAsiaTheme="minorEastAsia"/>
          <w:smallCaps w:val="0"/>
          <w:noProof/>
          <w:kern w:val="2"/>
          <w:sz w:val="24"/>
          <w:szCs w:val="24"/>
          <w:lang w:val="en-US" w:eastAsia="en-US" w:bidi="ar-SA"/>
          <w14:ligatures w14:val="standardContextual"/>
        </w:rPr>
      </w:pPr>
      <w:hyperlink w:anchor="_Toc214456870" w:history="1">
        <w:r w:rsidRPr="004460C9">
          <w:rPr>
            <w:rStyle w:val="Hyperlink"/>
            <w:noProof/>
          </w:rPr>
          <w:t>Base de Dados SQL do Azure</w:t>
        </w:r>
        <w:r>
          <w:rPr>
            <w:noProof/>
            <w:webHidden/>
          </w:rPr>
          <w:tab/>
        </w:r>
        <w:r>
          <w:rPr>
            <w:noProof/>
            <w:webHidden/>
          </w:rPr>
          <w:fldChar w:fldCharType="begin"/>
        </w:r>
        <w:r>
          <w:rPr>
            <w:noProof/>
            <w:webHidden/>
          </w:rPr>
          <w:instrText xml:space="preserve"> PAGEREF _Toc214456870 \h </w:instrText>
        </w:r>
        <w:r>
          <w:rPr>
            <w:noProof/>
            <w:webHidden/>
          </w:rPr>
        </w:r>
        <w:r>
          <w:rPr>
            <w:noProof/>
            <w:webHidden/>
          </w:rPr>
          <w:fldChar w:fldCharType="separate"/>
        </w:r>
        <w:r>
          <w:rPr>
            <w:noProof/>
            <w:webHidden/>
          </w:rPr>
          <w:t>91</w:t>
        </w:r>
        <w:r>
          <w:rPr>
            <w:noProof/>
            <w:webHidden/>
          </w:rPr>
          <w:fldChar w:fldCharType="end"/>
        </w:r>
      </w:hyperlink>
    </w:p>
    <w:p w14:paraId="39382173" w14:textId="43B2AB01" w:rsidR="001A7EE4" w:rsidRDefault="001A7EE4">
      <w:pPr>
        <w:pStyle w:val="TOC4"/>
        <w:rPr>
          <w:rFonts w:eastAsiaTheme="minorEastAsia"/>
          <w:smallCaps w:val="0"/>
          <w:noProof/>
          <w:kern w:val="2"/>
          <w:sz w:val="24"/>
          <w:szCs w:val="24"/>
          <w:lang w:val="en-US" w:eastAsia="en-US" w:bidi="ar-SA"/>
          <w14:ligatures w14:val="standardContextual"/>
        </w:rPr>
      </w:pPr>
      <w:hyperlink w:anchor="_Toc214456871" w:history="1">
        <w:r w:rsidRPr="004460C9">
          <w:rPr>
            <w:rStyle w:val="Hyperlink"/>
            <w:noProof/>
          </w:rPr>
          <w:t>Azure SQL Managed Instance</w:t>
        </w:r>
        <w:r>
          <w:rPr>
            <w:noProof/>
            <w:webHidden/>
          </w:rPr>
          <w:tab/>
        </w:r>
        <w:r>
          <w:rPr>
            <w:noProof/>
            <w:webHidden/>
          </w:rPr>
          <w:fldChar w:fldCharType="begin"/>
        </w:r>
        <w:r>
          <w:rPr>
            <w:noProof/>
            <w:webHidden/>
          </w:rPr>
          <w:instrText xml:space="preserve"> PAGEREF _Toc214456871 \h </w:instrText>
        </w:r>
        <w:r>
          <w:rPr>
            <w:noProof/>
            <w:webHidden/>
          </w:rPr>
        </w:r>
        <w:r>
          <w:rPr>
            <w:noProof/>
            <w:webHidden/>
          </w:rPr>
          <w:fldChar w:fldCharType="separate"/>
        </w:r>
        <w:r>
          <w:rPr>
            <w:noProof/>
            <w:webHidden/>
          </w:rPr>
          <w:t>93</w:t>
        </w:r>
        <w:r>
          <w:rPr>
            <w:noProof/>
            <w:webHidden/>
          </w:rPr>
          <w:fldChar w:fldCharType="end"/>
        </w:r>
      </w:hyperlink>
    </w:p>
    <w:p w14:paraId="39680415" w14:textId="7F2458C7" w:rsidR="001A7EE4" w:rsidRDefault="001A7EE4">
      <w:pPr>
        <w:pStyle w:val="TOC4"/>
        <w:rPr>
          <w:rFonts w:eastAsiaTheme="minorEastAsia"/>
          <w:smallCaps w:val="0"/>
          <w:noProof/>
          <w:kern w:val="2"/>
          <w:sz w:val="24"/>
          <w:szCs w:val="24"/>
          <w:lang w:val="en-US" w:eastAsia="en-US" w:bidi="ar-SA"/>
          <w14:ligatures w14:val="standardContextual"/>
        </w:rPr>
      </w:pPr>
      <w:hyperlink w:anchor="_Toc214456872" w:history="1">
        <w:r w:rsidRPr="004460C9">
          <w:rPr>
            <w:rStyle w:val="Hyperlink"/>
            <w:noProof/>
          </w:rPr>
          <w:t>SQL Server Stretch Database</w:t>
        </w:r>
        <w:r>
          <w:rPr>
            <w:noProof/>
            <w:webHidden/>
          </w:rPr>
          <w:tab/>
        </w:r>
        <w:r>
          <w:rPr>
            <w:noProof/>
            <w:webHidden/>
          </w:rPr>
          <w:fldChar w:fldCharType="begin"/>
        </w:r>
        <w:r>
          <w:rPr>
            <w:noProof/>
            <w:webHidden/>
          </w:rPr>
          <w:instrText xml:space="preserve"> PAGEREF _Toc214456872 \h </w:instrText>
        </w:r>
        <w:r>
          <w:rPr>
            <w:noProof/>
            <w:webHidden/>
          </w:rPr>
        </w:r>
        <w:r>
          <w:rPr>
            <w:noProof/>
            <w:webHidden/>
          </w:rPr>
          <w:fldChar w:fldCharType="separate"/>
        </w:r>
        <w:r>
          <w:rPr>
            <w:noProof/>
            <w:webHidden/>
          </w:rPr>
          <w:t>94</w:t>
        </w:r>
        <w:r>
          <w:rPr>
            <w:noProof/>
            <w:webHidden/>
          </w:rPr>
          <w:fldChar w:fldCharType="end"/>
        </w:r>
      </w:hyperlink>
    </w:p>
    <w:p w14:paraId="66716228" w14:textId="24FC603A" w:rsidR="001A7EE4" w:rsidRDefault="001A7EE4">
      <w:pPr>
        <w:pStyle w:val="TOC4"/>
        <w:rPr>
          <w:rFonts w:eastAsiaTheme="minorEastAsia"/>
          <w:smallCaps w:val="0"/>
          <w:noProof/>
          <w:kern w:val="2"/>
          <w:sz w:val="24"/>
          <w:szCs w:val="24"/>
          <w:lang w:val="en-US" w:eastAsia="en-US" w:bidi="ar-SA"/>
          <w14:ligatures w14:val="standardContextual"/>
        </w:rPr>
      </w:pPr>
      <w:hyperlink w:anchor="_Toc214456873" w:history="1">
        <w:r w:rsidRPr="004460C9">
          <w:rPr>
            <w:rStyle w:val="Hyperlink"/>
            <w:noProof/>
          </w:rPr>
          <w:t>Aplicações Web Estáticas</w:t>
        </w:r>
        <w:r>
          <w:rPr>
            <w:noProof/>
            <w:webHidden/>
          </w:rPr>
          <w:tab/>
        </w:r>
        <w:r>
          <w:rPr>
            <w:noProof/>
            <w:webHidden/>
          </w:rPr>
          <w:fldChar w:fldCharType="begin"/>
        </w:r>
        <w:r>
          <w:rPr>
            <w:noProof/>
            <w:webHidden/>
          </w:rPr>
          <w:instrText xml:space="preserve"> PAGEREF _Toc214456873 \h </w:instrText>
        </w:r>
        <w:r>
          <w:rPr>
            <w:noProof/>
            <w:webHidden/>
          </w:rPr>
        </w:r>
        <w:r>
          <w:rPr>
            <w:noProof/>
            <w:webHidden/>
          </w:rPr>
          <w:fldChar w:fldCharType="separate"/>
        </w:r>
        <w:r>
          <w:rPr>
            <w:noProof/>
            <w:webHidden/>
          </w:rPr>
          <w:t>94</w:t>
        </w:r>
        <w:r>
          <w:rPr>
            <w:noProof/>
            <w:webHidden/>
          </w:rPr>
          <w:fldChar w:fldCharType="end"/>
        </w:r>
      </w:hyperlink>
    </w:p>
    <w:p w14:paraId="26CF9224" w14:textId="20EDE52C" w:rsidR="001A7EE4" w:rsidRDefault="001A7EE4">
      <w:pPr>
        <w:pStyle w:val="TOC4"/>
        <w:rPr>
          <w:rFonts w:eastAsiaTheme="minorEastAsia"/>
          <w:smallCaps w:val="0"/>
          <w:noProof/>
          <w:kern w:val="2"/>
          <w:sz w:val="24"/>
          <w:szCs w:val="24"/>
          <w:lang w:val="en-US" w:eastAsia="en-US" w:bidi="ar-SA"/>
          <w14:ligatures w14:val="standardContextual"/>
        </w:rPr>
      </w:pPr>
      <w:hyperlink w:anchor="_Toc214456874" w:history="1">
        <w:r w:rsidRPr="004460C9">
          <w:rPr>
            <w:rStyle w:val="Hyperlink"/>
            <w:noProof/>
          </w:rPr>
          <w:t>Contas de Armazenamento</w:t>
        </w:r>
        <w:r>
          <w:rPr>
            <w:noProof/>
            <w:webHidden/>
          </w:rPr>
          <w:tab/>
        </w:r>
        <w:r>
          <w:rPr>
            <w:noProof/>
            <w:webHidden/>
          </w:rPr>
          <w:fldChar w:fldCharType="begin"/>
        </w:r>
        <w:r>
          <w:rPr>
            <w:noProof/>
            <w:webHidden/>
          </w:rPr>
          <w:instrText xml:space="preserve"> PAGEREF _Toc214456874 \h </w:instrText>
        </w:r>
        <w:r>
          <w:rPr>
            <w:noProof/>
            <w:webHidden/>
          </w:rPr>
        </w:r>
        <w:r>
          <w:rPr>
            <w:noProof/>
            <w:webHidden/>
          </w:rPr>
          <w:fldChar w:fldCharType="separate"/>
        </w:r>
        <w:r>
          <w:rPr>
            <w:noProof/>
            <w:webHidden/>
          </w:rPr>
          <w:t>94</w:t>
        </w:r>
        <w:r>
          <w:rPr>
            <w:noProof/>
            <w:webHidden/>
          </w:rPr>
          <w:fldChar w:fldCharType="end"/>
        </w:r>
      </w:hyperlink>
    </w:p>
    <w:p w14:paraId="0426415A" w14:textId="2A07CAE8" w:rsidR="001A7EE4" w:rsidRDefault="001A7EE4">
      <w:pPr>
        <w:pStyle w:val="TOC4"/>
        <w:rPr>
          <w:rFonts w:eastAsiaTheme="minorEastAsia"/>
          <w:smallCaps w:val="0"/>
          <w:noProof/>
          <w:kern w:val="2"/>
          <w:sz w:val="24"/>
          <w:szCs w:val="24"/>
          <w:lang w:val="en-US" w:eastAsia="en-US" w:bidi="ar-SA"/>
          <w14:ligatures w14:val="standardContextual"/>
        </w:rPr>
      </w:pPr>
      <w:hyperlink w:anchor="_Toc214456875" w:history="1">
        <w:r w:rsidRPr="004460C9">
          <w:rPr>
            <w:rStyle w:val="Hyperlink"/>
            <w:noProof/>
          </w:rPr>
          <w:t>StorSimple</w:t>
        </w:r>
        <w:r>
          <w:rPr>
            <w:noProof/>
            <w:webHidden/>
          </w:rPr>
          <w:tab/>
        </w:r>
        <w:r>
          <w:rPr>
            <w:noProof/>
            <w:webHidden/>
          </w:rPr>
          <w:fldChar w:fldCharType="begin"/>
        </w:r>
        <w:r>
          <w:rPr>
            <w:noProof/>
            <w:webHidden/>
          </w:rPr>
          <w:instrText xml:space="preserve"> PAGEREF _Toc214456875 \h </w:instrText>
        </w:r>
        <w:r>
          <w:rPr>
            <w:noProof/>
            <w:webHidden/>
          </w:rPr>
        </w:r>
        <w:r>
          <w:rPr>
            <w:noProof/>
            <w:webHidden/>
          </w:rPr>
          <w:fldChar w:fldCharType="separate"/>
        </w:r>
        <w:r>
          <w:rPr>
            <w:noProof/>
            <w:webHidden/>
          </w:rPr>
          <w:t>97</w:t>
        </w:r>
        <w:r>
          <w:rPr>
            <w:noProof/>
            <w:webHidden/>
          </w:rPr>
          <w:fldChar w:fldCharType="end"/>
        </w:r>
      </w:hyperlink>
    </w:p>
    <w:p w14:paraId="4AA5DE1B" w14:textId="02621ED4" w:rsidR="001A7EE4" w:rsidRDefault="001A7EE4">
      <w:pPr>
        <w:pStyle w:val="TOC4"/>
        <w:rPr>
          <w:rFonts w:eastAsiaTheme="minorEastAsia"/>
          <w:smallCaps w:val="0"/>
          <w:noProof/>
          <w:kern w:val="2"/>
          <w:sz w:val="24"/>
          <w:szCs w:val="24"/>
          <w:lang w:val="en-US" w:eastAsia="en-US" w:bidi="ar-SA"/>
          <w14:ligatures w14:val="standardContextual"/>
        </w:rPr>
      </w:pPr>
      <w:hyperlink w:anchor="_Toc214456876" w:history="1">
        <w:r w:rsidRPr="004460C9">
          <w:rPr>
            <w:rStyle w:val="Hyperlink"/>
            <w:noProof/>
          </w:rPr>
          <w:t>Azure Stream Analytics</w:t>
        </w:r>
        <w:r>
          <w:rPr>
            <w:noProof/>
            <w:webHidden/>
          </w:rPr>
          <w:tab/>
        </w:r>
        <w:r>
          <w:rPr>
            <w:noProof/>
            <w:webHidden/>
          </w:rPr>
          <w:fldChar w:fldCharType="begin"/>
        </w:r>
        <w:r>
          <w:rPr>
            <w:noProof/>
            <w:webHidden/>
          </w:rPr>
          <w:instrText xml:space="preserve"> PAGEREF _Toc214456876 \h </w:instrText>
        </w:r>
        <w:r>
          <w:rPr>
            <w:noProof/>
            <w:webHidden/>
          </w:rPr>
        </w:r>
        <w:r>
          <w:rPr>
            <w:noProof/>
            <w:webHidden/>
          </w:rPr>
          <w:fldChar w:fldCharType="separate"/>
        </w:r>
        <w:r>
          <w:rPr>
            <w:noProof/>
            <w:webHidden/>
          </w:rPr>
          <w:t>97</w:t>
        </w:r>
        <w:r>
          <w:rPr>
            <w:noProof/>
            <w:webHidden/>
          </w:rPr>
          <w:fldChar w:fldCharType="end"/>
        </w:r>
      </w:hyperlink>
    </w:p>
    <w:p w14:paraId="5846856D" w14:textId="42A357D7" w:rsidR="001A7EE4" w:rsidRDefault="001A7EE4">
      <w:pPr>
        <w:pStyle w:val="TOC4"/>
        <w:rPr>
          <w:rFonts w:eastAsiaTheme="minorEastAsia"/>
          <w:smallCaps w:val="0"/>
          <w:noProof/>
          <w:kern w:val="2"/>
          <w:sz w:val="24"/>
          <w:szCs w:val="24"/>
          <w:lang w:val="en-US" w:eastAsia="en-US" w:bidi="ar-SA"/>
          <w14:ligatures w14:val="standardContextual"/>
        </w:rPr>
      </w:pPr>
      <w:hyperlink w:anchor="_Toc214456877" w:history="1">
        <w:r w:rsidRPr="004460C9">
          <w:rPr>
            <w:rStyle w:val="Hyperlink"/>
            <w:noProof/>
          </w:rPr>
          <w:t>Azure Synapse Analytics</w:t>
        </w:r>
        <w:r>
          <w:rPr>
            <w:noProof/>
            <w:webHidden/>
          </w:rPr>
          <w:tab/>
        </w:r>
        <w:r>
          <w:rPr>
            <w:noProof/>
            <w:webHidden/>
          </w:rPr>
          <w:fldChar w:fldCharType="begin"/>
        </w:r>
        <w:r>
          <w:rPr>
            <w:noProof/>
            <w:webHidden/>
          </w:rPr>
          <w:instrText xml:space="preserve"> PAGEREF _Toc214456877 \h </w:instrText>
        </w:r>
        <w:r>
          <w:rPr>
            <w:noProof/>
            <w:webHidden/>
          </w:rPr>
        </w:r>
        <w:r>
          <w:rPr>
            <w:noProof/>
            <w:webHidden/>
          </w:rPr>
          <w:fldChar w:fldCharType="separate"/>
        </w:r>
        <w:r>
          <w:rPr>
            <w:noProof/>
            <w:webHidden/>
          </w:rPr>
          <w:t>98</w:t>
        </w:r>
        <w:r>
          <w:rPr>
            <w:noProof/>
            <w:webHidden/>
          </w:rPr>
          <w:fldChar w:fldCharType="end"/>
        </w:r>
      </w:hyperlink>
    </w:p>
    <w:p w14:paraId="24799BB6" w14:textId="7C9900B1" w:rsidR="001A7EE4" w:rsidRDefault="001A7EE4">
      <w:pPr>
        <w:pStyle w:val="TOC4"/>
        <w:rPr>
          <w:rFonts w:eastAsiaTheme="minorEastAsia"/>
          <w:smallCaps w:val="0"/>
          <w:noProof/>
          <w:kern w:val="2"/>
          <w:sz w:val="24"/>
          <w:szCs w:val="24"/>
          <w:lang w:val="en-US" w:eastAsia="en-US" w:bidi="ar-SA"/>
          <w14:ligatures w14:val="standardContextual"/>
        </w:rPr>
      </w:pPr>
      <w:hyperlink w:anchor="_Toc214456878" w:history="1">
        <w:r w:rsidRPr="004460C9">
          <w:rPr>
            <w:rStyle w:val="Hyperlink"/>
            <w:noProof/>
          </w:rPr>
          <w:t>Azure Time Series Insights</w:t>
        </w:r>
        <w:r>
          <w:rPr>
            <w:noProof/>
            <w:webHidden/>
          </w:rPr>
          <w:tab/>
        </w:r>
        <w:r>
          <w:rPr>
            <w:noProof/>
            <w:webHidden/>
          </w:rPr>
          <w:fldChar w:fldCharType="begin"/>
        </w:r>
        <w:r>
          <w:rPr>
            <w:noProof/>
            <w:webHidden/>
          </w:rPr>
          <w:instrText xml:space="preserve"> PAGEREF _Toc214456878 \h </w:instrText>
        </w:r>
        <w:r>
          <w:rPr>
            <w:noProof/>
            <w:webHidden/>
          </w:rPr>
        </w:r>
        <w:r>
          <w:rPr>
            <w:noProof/>
            <w:webHidden/>
          </w:rPr>
          <w:fldChar w:fldCharType="separate"/>
        </w:r>
        <w:r>
          <w:rPr>
            <w:noProof/>
            <w:webHidden/>
          </w:rPr>
          <w:t>99</w:t>
        </w:r>
        <w:r>
          <w:rPr>
            <w:noProof/>
            <w:webHidden/>
          </w:rPr>
          <w:fldChar w:fldCharType="end"/>
        </w:r>
      </w:hyperlink>
    </w:p>
    <w:p w14:paraId="68576B48" w14:textId="207DC93B" w:rsidR="001A7EE4" w:rsidRDefault="001A7EE4">
      <w:pPr>
        <w:pStyle w:val="TOC4"/>
        <w:rPr>
          <w:rFonts w:eastAsiaTheme="minorEastAsia"/>
          <w:smallCaps w:val="0"/>
          <w:noProof/>
          <w:kern w:val="2"/>
          <w:sz w:val="24"/>
          <w:szCs w:val="24"/>
          <w:lang w:val="en-US" w:eastAsia="en-US" w:bidi="ar-SA"/>
          <w14:ligatures w14:val="standardContextual"/>
        </w:rPr>
      </w:pPr>
      <w:hyperlink w:anchor="_Toc214456879" w:history="1">
        <w:r w:rsidRPr="004460C9">
          <w:rPr>
            <w:rStyle w:val="Hyperlink"/>
            <w:noProof/>
          </w:rPr>
          <w:t>Serviço de Gestor de Tráfego</w:t>
        </w:r>
        <w:r>
          <w:rPr>
            <w:noProof/>
            <w:webHidden/>
          </w:rPr>
          <w:tab/>
        </w:r>
        <w:r>
          <w:rPr>
            <w:noProof/>
            <w:webHidden/>
          </w:rPr>
          <w:fldChar w:fldCharType="begin"/>
        </w:r>
        <w:r>
          <w:rPr>
            <w:noProof/>
            <w:webHidden/>
          </w:rPr>
          <w:instrText xml:space="preserve"> PAGEREF _Toc214456879 \h </w:instrText>
        </w:r>
        <w:r>
          <w:rPr>
            <w:noProof/>
            <w:webHidden/>
          </w:rPr>
        </w:r>
        <w:r>
          <w:rPr>
            <w:noProof/>
            <w:webHidden/>
          </w:rPr>
          <w:fldChar w:fldCharType="separate"/>
        </w:r>
        <w:r>
          <w:rPr>
            <w:noProof/>
            <w:webHidden/>
          </w:rPr>
          <w:t>100</w:t>
        </w:r>
        <w:r>
          <w:rPr>
            <w:noProof/>
            <w:webHidden/>
          </w:rPr>
          <w:fldChar w:fldCharType="end"/>
        </w:r>
      </w:hyperlink>
    </w:p>
    <w:p w14:paraId="7CBBA502" w14:textId="7FC59FDA" w:rsidR="001A7EE4" w:rsidRDefault="001A7EE4">
      <w:pPr>
        <w:pStyle w:val="TOC4"/>
        <w:rPr>
          <w:rFonts w:eastAsiaTheme="minorEastAsia"/>
          <w:smallCaps w:val="0"/>
          <w:noProof/>
          <w:kern w:val="2"/>
          <w:sz w:val="24"/>
          <w:szCs w:val="24"/>
          <w:lang w:val="en-US" w:eastAsia="en-US" w:bidi="ar-SA"/>
          <w14:ligatures w14:val="standardContextual"/>
        </w:rPr>
      </w:pPr>
      <w:hyperlink w:anchor="_Toc214456880" w:history="1">
        <w:r w:rsidRPr="004460C9">
          <w:rPr>
            <w:rStyle w:val="Hyperlink"/>
            <w:noProof/>
          </w:rPr>
          <w:t>Assinatura Fidedigna</w:t>
        </w:r>
        <w:r>
          <w:rPr>
            <w:noProof/>
            <w:webHidden/>
          </w:rPr>
          <w:tab/>
        </w:r>
        <w:r>
          <w:rPr>
            <w:noProof/>
            <w:webHidden/>
          </w:rPr>
          <w:fldChar w:fldCharType="begin"/>
        </w:r>
        <w:r>
          <w:rPr>
            <w:noProof/>
            <w:webHidden/>
          </w:rPr>
          <w:instrText xml:space="preserve"> PAGEREF _Toc214456880 \h </w:instrText>
        </w:r>
        <w:r>
          <w:rPr>
            <w:noProof/>
            <w:webHidden/>
          </w:rPr>
        </w:r>
        <w:r>
          <w:rPr>
            <w:noProof/>
            <w:webHidden/>
          </w:rPr>
          <w:fldChar w:fldCharType="separate"/>
        </w:r>
        <w:r>
          <w:rPr>
            <w:noProof/>
            <w:webHidden/>
          </w:rPr>
          <w:t>100</w:t>
        </w:r>
        <w:r>
          <w:rPr>
            <w:noProof/>
            <w:webHidden/>
          </w:rPr>
          <w:fldChar w:fldCharType="end"/>
        </w:r>
      </w:hyperlink>
    </w:p>
    <w:p w14:paraId="45B64798" w14:textId="19210D92" w:rsidR="001A7EE4" w:rsidRDefault="001A7EE4">
      <w:pPr>
        <w:pStyle w:val="TOC4"/>
        <w:rPr>
          <w:rFonts w:eastAsiaTheme="minorEastAsia"/>
          <w:smallCaps w:val="0"/>
          <w:noProof/>
          <w:kern w:val="2"/>
          <w:sz w:val="24"/>
          <w:szCs w:val="24"/>
          <w:lang w:val="en-US" w:eastAsia="en-US" w:bidi="ar-SA"/>
          <w14:ligatures w14:val="standardContextual"/>
        </w:rPr>
      </w:pPr>
      <w:hyperlink w:anchor="_Toc214456881" w:history="1">
        <w:r w:rsidRPr="004460C9">
          <w:rPr>
            <w:rStyle w:val="Hyperlink"/>
            <w:noProof/>
          </w:rPr>
          <w:t>Máquinas Virtuais</w:t>
        </w:r>
        <w:r>
          <w:rPr>
            <w:noProof/>
            <w:webHidden/>
          </w:rPr>
          <w:tab/>
        </w:r>
        <w:r>
          <w:rPr>
            <w:noProof/>
            <w:webHidden/>
          </w:rPr>
          <w:fldChar w:fldCharType="begin"/>
        </w:r>
        <w:r>
          <w:rPr>
            <w:noProof/>
            <w:webHidden/>
          </w:rPr>
          <w:instrText xml:space="preserve"> PAGEREF _Toc214456881 \h </w:instrText>
        </w:r>
        <w:r>
          <w:rPr>
            <w:noProof/>
            <w:webHidden/>
          </w:rPr>
        </w:r>
        <w:r>
          <w:rPr>
            <w:noProof/>
            <w:webHidden/>
          </w:rPr>
          <w:fldChar w:fldCharType="separate"/>
        </w:r>
        <w:r>
          <w:rPr>
            <w:noProof/>
            <w:webHidden/>
          </w:rPr>
          <w:t>100</w:t>
        </w:r>
        <w:r>
          <w:rPr>
            <w:noProof/>
            <w:webHidden/>
          </w:rPr>
          <w:fldChar w:fldCharType="end"/>
        </w:r>
      </w:hyperlink>
    </w:p>
    <w:p w14:paraId="7CE57472" w14:textId="6CE1365F" w:rsidR="001A7EE4" w:rsidRDefault="001A7EE4">
      <w:pPr>
        <w:pStyle w:val="TOC4"/>
        <w:rPr>
          <w:rFonts w:eastAsiaTheme="minorEastAsia"/>
          <w:smallCaps w:val="0"/>
          <w:noProof/>
          <w:kern w:val="2"/>
          <w:sz w:val="24"/>
          <w:szCs w:val="24"/>
          <w:lang w:val="en-US" w:eastAsia="en-US" w:bidi="ar-SA"/>
          <w14:ligatures w14:val="standardContextual"/>
        </w:rPr>
      </w:pPr>
      <w:hyperlink w:anchor="_Toc214456882" w:history="1">
        <w:r w:rsidRPr="004460C9">
          <w:rPr>
            <w:rStyle w:val="Hyperlink"/>
            <w:noProof/>
          </w:rPr>
          <w:t>Azure Virtual Network Manager</w:t>
        </w:r>
        <w:r>
          <w:rPr>
            <w:noProof/>
            <w:webHidden/>
          </w:rPr>
          <w:tab/>
        </w:r>
        <w:r>
          <w:rPr>
            <w:noProof/>
            <w:webHidden/>
          </w:rPr>
          <w:fldChar w:fldCharType="begin"/>
        </w:r>
        <w:r>
          <w:rPr>
            <w:noProof/>
            <w:webHidden/>
          </w:rPr>
          <w:instrText xml:space="preserve"> PAGEREF _Toc214456882 \h </w:instrText>
        </w:r>
        <w:r>
          <w:rPr>
            <w:noProof/>
            <w:webHidden/>
          </w:rPr>
        </w:r>
        <w:r>
          <w:rPr>
            <w:noProof/>
            <w:webHidden/>
          </w:rPr>
          <w:fldChar w:fldCharType="separate"/>
        </w:r>
        <w:r>
          <w:rPr>
            <w:noProof/>
            <w:webHidden/>
          </w:rPr>
          <w:t>102</w:t>
        </w:r>
        <w:r>
          <w:rPr>
            <w:noProof/>
            <w:webHidden/>
          </w:rPr>
          <w:fldChar w:fldCharType="end"/>
        </w:r>
      </w:hyperlink>
    </w:p>
    <w:p w14:paraId="09B13EA4" w14:textId="0B3EC94D" w:rsidR="001A7EE4" w:rsidRDefault="001A7EE4">
      <w:pPr>
        <w:pStyle w:val="TOC4"/>
        <w:rPr>
          <w:rFonts w:eastAsiaTheme="minorEastAsia"/>
          <w:smallCaps w:val="0"/>
          <w:noProof/>
          <w:kern w:val="2"/>
          <w:sz w:val="24"/>
          <w:szCs w:val="24"/>
          <w:lang w:val="en-US" w:eastAsia="en-US" w:bidi="ar-SA"/>
          <w14:ligatures w14:val="standardContextual"/>
        </w:rPr>
      </w:pPr>
      <w:hyperlink w:anchor="_Toc214456883" w:history="1">
        <w:r w:rsidRPr="004460C9">
          <w:rPr>
            <w:rStyle w:val="Hyperlink"/>
            <w:noProof/>
          </w:rPr>
          <w:t>WAN Virtual do Azure</w:t>
        </w:r>
        <w:r>
          <w:rPr>
            <w:noProof/>
            <w:webHidden/>
          </w:rPr>
          <w:tab/>
        </w:r>
        <w:r>
          <w:rPr>
            <w:noProof/>
            <w:webHidden/>
          </w:rPr>
          <w:fldChar w:fldCharType="begin"/>
        </w:r>
        <w:r>
          <w:rPr>
            <w:noProof/>
            <w:webHidden/>
          </w:rPr>
          <w:instrText xml:space="preserve"> PAGEREF _Toc214456883 \h </w:instrText>
        </w:r>
        <w:r>
          <w:rPr>
            <w:noProof/>
            <w:webHidden/>
          </w:rPr>
        </w:r>
        <w:r>
          <w:rPr>
            <w:noProof/>
            <w:webHidden/>
          </w:rPr>
          <w:fldChar w:fldCharType="separate"/>
        </w:r>
        <w:r>
          <w:rPr>
            <w:noProof/>
            <w:webHidden/>
          </w:rPr>
          <w:t>103</w:t>
        </w:r>
        <w:r>
          <w:rPr>
            <w:noProof/>
            <w:webHidden/>
          </w:rPr>
          <w:fldChar w:fldCharType="end"/>
        </w:r>
      </w:hyperlink>
    </w:p>
    <w:p w14:paraId="6FBCCB8D" w14:textId="335D13EC" w:rsidR="001A7EE4" w:rsidRDefault="001A7EE4">
      <w:pPr>
        <w:pStyle w:val="TOC4"/>
        <w:rPr>
          <w:rFonts w:eastAsiaTheme="minorEastAsia"/>
          <w:smallCaps w:val="0"/>
          <w:noProof/>
          <w:kern w:val="2"/>
          <w:sz w:val="24"/>
          <w:szCs w:val="24"/>
          <w:lang w:val="en-US" w:eastAsia="en-US" w:bidi="ar-SA"/>
          <w14:ligatures w14:val="standardContextual"/>
        </w:rPr>
      </w:pPr>
      <w:hyperlink w:anchor="_Toc214456884" w:history="1">
        <w:r w:rsidRPr="004460C9">
          <w:rPr>
            <w:rStyle w:val="Hyperlink"/>
            <w:noProof/>
          </w:rPr>
          <w:t>Azure VMware Solution</w:t>
        </w:r>
        <w:r>
          <w:rPr>
            <w:noProof/>
            <w:webHidden/>
          </w:rPr>
          <w:tab/>
        </w:r>
        <w:r>
          <w:rPr>
            <w:noProof/>
            <w:webHidden/>
          </w:rPr>
          <w:fldChar w:fldCharType="begin"/>
        </w:r>
        <w:r>
          <w:rPr>
            <w:noProof/>
            <w:webHidden/>
          </w:rPr>
          <w:instrText xml:space="preserve"> PAGEREF _Toc214456884 \h </w:instrText>
        </w:r>
        <w:r>
          <w:rPr>
            <w:noProof/>
            <w:webHidden/>
          </w:rPr>
        </w:r>
        <w:r>
          <w:rPr>
            <w:noProof/>
            <w:webHidden/>
          </w:rPr>
          <w:fldChar w:fldCharType="separate"/>
        </w:r>
        <w:r>
          <w:rPr>
            <w:noProof/>
            <w:webHidden/>
          </w:rPr>
          <w:t>103</w:t>
        </w:r>
        <w:r>
          <w:rPr>
            <w:noProof/>
            <w:webHidden/>
          </w:rPr>
          <w:fldChar w:fldCharType="end"/>
        </w:r>
      </w:hyperlink>
    </w:p>
    <w:p w14:paraId="38D9E658" w14:textId="5A95C577" w:rsidR="001A7EE4" w:rsidRDefault="001A7EE4">
      <w:pPr>
        <w:pStyle w:val="TOC4"/>
        <w:rPr>
          <w:rFonts w:eastAsiaTheme="minorEastAsia"/>
          <w:smallCaps w:val="0"/>
          <w:noProof/>
          <w:kern w:val="2"/>
          <w:sz w:val="24"/>
          <w:szCs w:val="24"/>
          <w:lang w:val="en-US" w:eastAsia="en-US" w:bidi="ar-SA"/>
          <w14:ligatures w14:val="standardContextual"/>
        </w:rPr>
      </w:pPr>
      <w:hyperlink w:anchor="_Toc214456885" w:history="1">
        <w:r w:rsidRPr="004460C9">
          <w:rPr>
            <w:rStyle w:val="Hyperlink"/>
            <w:noProof/>
            <w:lang w:val="en-IN"/>
          </w:rPr>
          <w:t>Azure VMware Solution by CloudSimple</w:t>
        </w:r>
        <w:r>
          <w:rPr>
            <w:noProof/>
            <w:webHidden/>
          </w:rPr>
          <w:tab/>
        </w:r>
        <w:r>
          <w:rPr>
            <w:noProof/>
            <w:webHidden/>
          </w:rPr>
          <w:fldChar w:fldCharType="begin"/>
        </w:r>
        <w:r>
          <w:rPr>
            <w:noProof/>
            <w:webHidden/>
          </w:rPr>
          <w:instrText xml:space="preserve"> PAGEREF _Toc214456885 \h </w:instrText>
        </w:r>
        <w:r>
          <w:rPr>
            <w:noProof/>
            <w:webHidden/>
          </w:rPr>
        </w:r>
        <w:r>
          <w:rPr>
            <w:noProof/>
            <w:webHidden/>
          </w:rPr>
          <w:fldChar w:fldCharType="separate"/>
        </w:r>
        <w:r>
          <w:rPr>
            <w:noProof/>
            <w:webHidden/>
          </w:rPr>
          <w:t>104</w:t>
        </w:r>
        <w:r>
          <w:rPr>
            <w:noProof/>
            <w:webHidden/>
          </w:rPr>
          <w:fldChar w:fldCharType="end"/>
        </w:r>
      </w:hyperlink>
    </w:p>
    <w:p w14:paraId="1A669D35" w14:textId="334B60C7" w:rsidR="001A7EE4" w:rsidRDefault="001A7EE4">
      <w:pPr>
        <w:pStyle w:val="TOC4"/>
        <w:rPr>
          <w:rFonts w:eastAsiaTheme="minorEastAsia"/>
          <w:smallCaps w:val="0"/>
          <w:noProof/>
          <w:kern w:val="2"/>
          <w:sz w:val="24"/>
          <w:szCs w:val="24"/>
          <w:lang w:val="en-US" w:eastAsia="en-US" w:bidi="ar-SA"/>
          <w14:ligatures w14:val="standardContextual"/>
        </w:rPr>
      </w:pPr>
      <w:hyperlink w:anchor="_Toc214456886" w:history="1">
        <w:r w:rsidRPr="004460C9">
          <w:rPr>
            <w:rStyle w:val="Hyperlink"/>
            <w:noProof/>
          </w:rPr>
          <w:t>Azure VNet NAT</w:t>
        </w:r>
        <w:r>
          <w:rPr>
            <w:noProof/>
            <w:webHidden/>
          </w:rPr>
          <w:tab/>
        </w:r>
        <w:r>
          <w:rPr>
            <w:noProof/>
            <w:webHidden/>
          </w:rPr>
          <w:fldChar w:fldCharType="begin"/>
        </w:r>
        <w:r>
          <w:rPr>
            <w:noProof/>
            <w:webHidden/>
          </w:rPr>
          <w:instrText xml:space="preserve"> PAGEREF _Toc214456886 \h </w:instrText>
        </w:r>
        <w:r>
          <w:rPr>
            <w:noProof/>
            <w:webHidden/>
          </w:rPr>
        </w:r>
        <w:r>
          <w:rPr>
            <w:noProof/>
            <w:webHidden/>
          </w:rPr>
          <w:fldChar w:fldCharType="separate"/>
        </w:r>
        <w:r>
          <w:rPr>
            <w:noProof/>
            <w:webHidden/>
          </w:rPr>
          <w:t>105</w:t>
        </w:r>
        <w:r>
          <w:rPr>
            <w:noProof/>
            <w:webHidden/>
          </w:rPr>
          <w:fldChar w:fldCharType="end"/>
        </w:r>
      </w:hyperlink>
    </w:p>
    <w:p w14:paraId="6DA9A88F" w14:textId="58996382" w:rsidR="001A7EE4" w:rsidRDefault="001A7EE4">
      <w:pPr>
        <w:pStyle w:val="TOC4"/>
        <w:rPr>
          <w:rFonts w:eastAsiaTheme="minorEastAsia"/>
          <w:smallCaps w:val="0"/>
          <w:noProof/>
          <w:kern w:val="2"/>
          <w:sz w:val="24"/>
          <w:szCs w:val="24"/>
          <w:lang w:val="en-US" w:eastAsia="en-US" w:bidi="ar-SA"/>
          <w14:ligatures w14:val="standardContextual"/>
        </w:rPr>
      </w:pPr>
      <w:hyperlink w:anchor="_Toc214456887" w:history="1">
        <w:r w:rsidRPr="004460C9">
          <w:rPr>
            <w:rStyle w:val="Hyperlink"/>
            <w:noProof/>
          </w:rPr>
          <w:t>Gateway de Rede Virtual</w:t>
        </w:r>
        <w:r>
          <w:rPr>
            <w:noProof/>
            <w:webHidden/>
          </w:rPr>
          <w:tab/>
        </w:r>
        <w:r>
          <w:rPr>
            <w:noProof/>
            <w:webHidden/>
          </w:rPr>
          <w:fldChar w:fldCharType="begin"/>
        </w:r>
        <w:r>
          <w:rPr>
            <w:noProof/>
            <w:webHidden/>
          </w:rPr>
          <w:instrText xml:space="preserve"> PAGEREF _Toc214456887 \h </w:instrText>
        </w:r>
        <w:r>
          <w:rPr>
            <w:noProof/>
            <w:webHidden/>
          </w:rPr>
        </w:r>
        <w:r>
          <w:rPr>
            <w:noProof/>
            <w:webHidden/>
          </w:rPr>
          <w:fldChar w:fldCharType="separate"/>
        </w:r>
        <w:r>
          <w:rPr>
            <w:noProof/>
            <w:webHidden/>
          </w:rPr>
          <w:t>105</w:t>
        </w:r>
        <w:r>
          <w:rPr>
            <w:noProof/>
            <w:webHidden/>
          </w:rPr>
          <w:fldChar w:fldCharType="end"/>
        </w:r>
      </w:hyperlink>
    </w:p>
    <w:p w14:paraId="20B45988" w14:textId="70BAD9C6" w:rsidR="001A7EE4" w:rsidRDefault="001A7EE4">
      <w:pPr>
        <w:pStyle w:val="TOC4"/>
        <w:rPr>
          <w:rFonts w:eastAsiaTheme="minorEastAsia"/>
          <w:smallCaps w:val="0"/>
          <w:noProof/>
          <w:kern w:val="2"/>
          <w:sz w:val="24"/>
          <w:szCs w:val="24"/>
          <w:lang w:val="en-US" w:eastAsia="en-US" w:bidi="ar-SA"/>
          <w14:ligatures w14:val="standardContextual"/>
        </w:rPr>
      </w:pPr>
      <w:hyperlink w:anchor="_Toc214456888" w:history="1">
        <w:r w:rsidRPr="004460C9">
          <w:rPr>
            <w:rStyle w:val="Hyperlink"/>
            <w:noProof/>
          </w:rPr>
          <w:t>Azure Web PubSub</w:t>
        </w:r>
        <w:r>
          <w:rPr>
            <w:noProof/>
            <w:webHidden/>
          </w:rPr>
          <w:tab/>
        </w:r>
        <w:r>
          <w:rPr>
            <w:noProof/>
            <w:webHidden/>
          </w:rPr>
          <w:fldChar w:fldCharType="begin"/>
        </w:r>
        <w:r>
          <w:rPr>
            <w:noProof/>
            <w:webHidden/>
          </w:rPr>
          <w:instrText xml:space="preserve"> PAGEREF _Toc214456888 \h </w:instrText>
        </w:r>
        <w:r>
          <w:rPr>
            <w:noProof/>
            <w:webHidden/>
          </w:rPr>
        </w:r>
        <w:r>
          <w:rPr>
            <w:noProof/>
            <w:webHidden/>
          </w:rPr>
          <w:fldChar w:fldCharType="separate"/>
        </w:r>
        <w:r>
          <w:rPr>
            <w:noProof/>
            <w:webHidden/>
          </w:rPr>
          <w:t>106</w:t>
        </w:r>
        <w:r>
          <w:rPr>
            <w:noProof/>
            <w:webHidden/>
          </w:rPr>
          <w:fldChar w:fldCharType="end"/>
        </w:r>
      </w:hyperlink>
    </w:p>
    <w:p w14:paraId="41DB7951" w14:textId="2743B24C" w:rsidR="001A7EE4" w:rsidRDefault="001A7EE4">
      <w:pPr>
        <w:pStyle w:val="TOC4"/>
        <w:rPr>
          <w:rFonts w:eastAsiaTheme="minorEastAsia"/>
          <w:smallCaps w:val="0"/>
          <w:noProof/>
          <w:kern w:val="2"/>
          <w:sz w:val="24"/>
          <w:szCs w:val="24"/>
          <w:lang w:val="en-US" w:eastAsia="en-US" w:bidi="ar-SA"/>
          <w14:ligatures w14:val="standardContextual"/>
        </w:rPr>
      </w:pPr>
      <w:hyperlink w:anchor="_Toc214456889" w:history="1">
        <w:r w:rsidRPr="004460C9">
          <w:rPr>
            <w:rStyle w:val="Hyperlink"/>
            <w:noProof/>
          </w:rPr>
          <w:t>Windows 10 IoT Core Services</w:t>
        </w:r>
        <w:r>
          <w:rPr>
            <w:noProof/>
            <w:webHidden/>
          </w:rPr>
          <w:tab/>
        </w:r>
        <w:r>
          <w:rPr>
            <w:noProof/>
            <w:webHidden/>
          </w:rPr>
          <w:fldChar w:fldCharType="begin"/>
        </w:r>
        <w:r>
          <w:rPr>
            <w:noProof/>
            <w:webHidden/>
          </w:rPr>
          <w:instrText xml:space="preserve"> PAGEREF _Toc214456889 \h </w:instrText>
        </w:r>
        <w:r>
          <w:rPr>
            <w:noProof/>
            <w:webHidden/>
          </w:rPr>
        </w:r>
        <w:r>
          <w:rPr>
            <w:noProof/>
            <w:webHidden/>
          </w:rPr>
          <w:fldChar w:fldCharType="separate"/>
        </w:r>
        <w:r>
          <w:rPr>
            <w:noProof/>
            <w:webHidden/>
          </w:rPr>
          <w:t>106</w:t>
        </w:r>
        <w:r>
          <w:rPr>
            <w:noProof/>
            <w:webHidden/>
          </w:rPr>
          <w:fldChar w:fldCharType="end"/>
        </w:r>
      </w:hyperlink>
    </w:p>
    <w:p w14:paraId="1BC9FA23" w14:textId="2313176F" w:rsidR="001A7EE4" w:rsidRDefault="001A7EE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456890" w:history="1">
        <w:r w:rsidRPr="004460C9">
          <w:rPr>
            <w:rStyle w:val="Hyperlink"/>
            <w:noProof/>
          </w:rPr>
          <w:t>Outros Serviços Online</w:t>
        </w:r>
        <w:r>
          <w:rPr>
            <w:noProof/>
            <w:webHidden/>
          </w:rPr>
          <w:tab/>
        </w:r>
        <w:r>
          <w:rPr>
            <w:noProof/>
            <w:webHidden/>
          </w:rPr>
          <w:fldChar w:fldCharType="begin"/>
        </w:r>
        <w:r>
          <w:rPr>
            <w:noProof/>
            <w:webHidden/>
          </w:rPr>
          <w:instrText xml:space="preserve"> PAGEREF _Toc214456890 \h </w:instrText>
        </w:r>
        <w:r>
          <w:rPr>
            <w:noProof/>
            <w:webHidden/>
          </w:rPr>
        </w:r>
        <w:r>
          <w:rPr>
            <w:noProof/>
            <w:webHidden/>
          </w:rPr>
          <w:fldChar w:fldCharType="separate"/>
        </w:r>
        <w:r>
          <w:rPr>
            <w:noProof/>
            <w:webHidden/>
          </w:rPr>
          <w:t>106</w:t>
        </w:r>
        <w:r>
          <w:rPr>
            <w:noProof/>
            <w:webHidden/>
          </w:rPr>
          <w:fldChar w:fldCharType="end"/>
        </w:r>
      </w:hyperlink>
    </w:p>
    <w:p w14:paraId="2E8DBECC" w14:textId="1C29E5F9" w:rsidR="001A7EE4" w:rsidRDefault="001A7EE4">
      <w:pPr>
        <w:pStyle w:val="TOC4"/>
        <w:rPr>
          <w:rFonts w:eastAsiaTheme="minorEastAsia"/>
          <w:smallCaps w:val="0"/>
          <w:noProof/>
          <w:kern w:val="2"/>
          <w:sz w:val="24"/>
          <w:szCs w:val="24"/>
          <w:lang w:val="en-US" w:eastAsia="en-US" w:bidi="ar-SA"/>
          <w14:ligatures w14:val="standardContextual"/>
        </w:rPr>
      </w:pPr>
      <w:hyperlink w:anchor="_Toc214456891" w:history="1">
        <w:r w:rsidRPr="004460C9">
          <w:rPr>
            <w:rStyle w:val="Hyperlink"/>
            <w:noProof/>
          </w:rPr>
          <w:t>Microsoft Defender para Identidade</w:t>
        </w:r>
        <w:r>
          <w:rPr>
            <w:noProof/>
            <w:webHidden/>
          </w:rPr>
          <w:tab/>
        </w:r>
        <w:r>
          <w:rPr>
            <w:noProof/>
            <w:webHidden/>
          </w:rPr>
          <w:fldChar w:fldCharType="begin"/>
        </w:r>
        <w:r>
          <w:rPr>
            <w:noProof/>
            <w:webHidden/>
          </w:rPr>
          <w:instrText xml:space="preserve"> PAGEREF _Toc214456891 \h </w:instrText>
        </w:r>
        <w:r>
          <w:rPr>
            <w:noProof/>
            <w:webHidden/>
          </w:rPr>
        </w:r>
        <w:r>
          <w:rPr>
            <w:noProof/>
            <w:webHidden/>
          </w:rPr>
          <w:fldChar w:fldCharType="separate"/>
        </w:r>
        <w:r>
          <w:rPr>
            <w:noProof/>
            <w:webHidden/>
          </w:rPr>
          <w:t>106</w:t>
        </w:r>
        <w:r>
          <w:rPr>
            <w:noProof/>
            <w:webHidden/>
          </w:rPr>
          <w:fldChar w:fldCharType="end"/>
        </w:r>
      </w:hyperlink>
    </w:p>
    <w:p w14:paraId="0EDD66CA" w14:textId="5016B73C" w:rsidR="001A7EE4" w:rsidRDefault="001A7EE4">
      <w:pPr>
        <w:pStyle w:val="TOC4"/>
        <w:rPr>
          <w:rFonts w:eastAsiaTheme="minorEastAsia"/>
          <w:smallCaps w:val="0"/>
          <w:noProof/>
          <w:kern w:val="2"/>
          <w:sz w:val="24"/>
          <w:szCs w:val="24"/>
          <w:lang w:val="en-US" w:eastAsia="en-US" w:bidi="ar-SA"/>
          <w14:ligatures w14:val="standardContextual"/>
        </w:rPr>
      </w:pPr>
      <w:hyperlink w:anchor="_Toc214456892" w:history="1">
        <w:r w:rsidRPr="004460C9">
          <w:rPr>
            <w:rStyle w:val="Hyperlink"/>
            <w:noProof/>
          </w:rPr>
          <w:t>Microsoft Defender para IoT</w:t>
        </w:r>
        <w:r>
          <w:rPr>
            <w:noProof/>
            <w:webHidden/>
          </w:rPr>
          <w:tab/>
        </w:r>
        <w:r>
          <w:rPr>
            <w:noProof/>
            <w:webHidden/>
          </w:rPr>
          <w:fldChar w:fldCharType="begin"/>
        </w:r>
        <w:r>
          <w:rPr>
            <w:noProof/>
            <w:webHidden/>
          </w:rPr>
          <w:instrText xml:space="preserve"> PAGEREF _Toc214456892 \h </w:instrText>
        </w:r>
        <w:r>
          <w:rPr>
            <w:noProof/>
            <w:webHidden/>
          </w:rPr>
        </w:r>
        <w:r>
          <w:rPr>
            <w:noProof/>
            <w:webHidden/>
          </w:rPr>
          <w:fldChar w:fldCharType="separate"/>
        </w:r>
        <w:r>
          <w:rPr>
            <w:noProof/>
            <w:webHidden/>
          </w:rPr>
          <w:t>107</w:t>
        </w:r>
        <w:r>
          <w:rPr>
            <w:noProof/>
            <w:webHidden/>
          </w:rPr>
          <w:fldChar w:fldCharType="end"/>
        </w:r>
      </w:hyperlink>
    </w:p>
    <w:p w14:paraId="5EBCFC38" w14:textId="61BAF431" w:rsidR="001A7EE4" w:rsidRDefault="001A7EE4">
      <w:pPr>
        <w:pStyle w:val="TOC4"/>
        <w:rPr>
          <w:rFonts w:eastAsiaTheme="minorEastAsia"/>
          <w:smallCaps w:val="0"/>
          <w:noProof/>
          <w:kern w:val="2"/>
          <w:sz w:val="24"/>
          <w:szCs w:val="24"/>
          <w:lang w:val="en-US" w:eastAsia="en-US" w:bidi="ar-SA"/>
          <w14:ligatures w14:val="standardContextual"/>
        </w:rPr>
      </w:pPr>
      <w:hyperlink w:anchor="_Toc214456893" w:history="1">
        <w:r w:rsidRPr="004460C9">
          <w:rPr>
            <w:rStyle w:val="Hyperlink"/>
            <w:noProof/>
          </w:rPr>
          <w:t>Bing Maps Enterprise Platform</w:t>
        </w:r>
        <w:r>
          <w:rPr>
            <w:noProof/>
            <w:webHidden/>
          </w:rPr>
          <w:tab/>
        </w:r>
        <w:r>
          <w:rPr>
            <w:noProof/>
            <w:webHidden/>
          </w:rPr>
          <w:fldChar w:fldCharType="begin"/>
        </w:r>
        <w:r>
          <w:rPr>
            <w:noProof/>
            <w:webHidden/>
          </w:rPr>
          <w:instrText xml:space="preserve"> PAGEREF _Toc214456893 \h </w:instrText>
        </w:r>
        <w:r>
          <w:rPr>
            <w:noProof/>
            <w:webHidden/>
          </w:rPr>
        </w:r>
        <w:r>
          <w:rPr>
            <w:noProof/>
            <w:webHidden/>
          </w:rPr>
          <w:fldChar w:fldCharType="separate"/>
        </w:r>
        <w:r>
          <w:rPr>
            <w:noProof/>
            <w:webHidden/>
          </w:rPr>
          <w:t>107</w:t>
        </w:r>
        <w:r>
          <w:rPr>
            <w:noProof/>
            <w:webHidden/>
          </w:rPr>
          <w:fldChar w:fldCharType="end"/>
        </w:r>
      </w:hyperlink>
    </w:p>
    <w:p w14:paraId="1324C9F6" w14:textId="4349513A" w:rsidR="001A7EE4" w:rsidRDefault="001A7EE4">
      <w:pPr>
        <w:pStyle w:val="TOC4"/>
        <w:rPr>
          <w:rFonts w:eastAsiaTheme="minorEastAsia"/>
          <w:smallCaps w:val="0"/>
          <w:noProof/>
          <w:kern w:val="2"/>
          <w:sz w:val="24"/>
          <w:szCs w:val="24"/>
          <w:lang w:val="en-US" w:eastAsia="en-US" w:bidi="ar-SA"/>
          <w14:ligatures w14:val="standardContextual"/>
        </w:rPr>
      </w:pPr>
      <w:hyperlink w:anchor="_Toc214456894" w:history="1">
        <w:r w:rsidRPr="004460C9">
          <w:rPr>
            <w:rStyle w:val="Hyperlink"/>
            <w:noProof/>
          </w:rPr>
          <w:t>Bing Maps Mobile Asset Management</w:t>
        </w:r>
        <w:r>
          <w:rPr>
            <w:noProof/>
            <w:webHidden/>
          </w:rPr>
          <w:tab/>
        </w:r>
        <w:r>
          <w:rPr>
            <w:noProof/>
            <w:webHidden/>
          </w:rPr>
          <w:fldChar w:fldCharType="begin"/>
        </w:r>
        <w:r>
          <w:rPr>
            <w:noProof/>
            <w:webHidden/>
          </w:rPr>
          <w:instrText xml:space="preserve"> PAGEREF _Toc214456894 \h </w:instrText>
        </w:r>
        <w:r>
          <w:rPr>
            <w:noProof/>
            <w:webHidden/>
          </w:rPr>
        </w:r>
        <w:r>
          <w:rPr>
            <w:noProof/>
            <w:webHidden/>
          </w:rPr>
          <w:fldChar w:fldCharType="separate"/>
        </w:r>
        <w:r>
          <w:rPr>
            <w:noProof/>
            <w:webHidden/>
          </w:rPr>
          <w:t>108</w:t>
        </w:r>
        <w:r>
          <w:rPr>
            <w:noProof/>
            <w:webHidden/>
          </w:rPr>
          <w:fldChar w:fldCharType="end"/>
        </w:r>
      </w:hyperlink>
    </w:p>
    <w:p w14:paraId="05649F23" w14:textId="088BFAF1" w:rsidR="001A7EE4" w:rsidRDefault="001A7EE4">
      <w:pPr>
        <w:pStyle w:val="TOC4"/>
        <w:rPr>
          <w:rFonts w:eastAsiaTheme="minorEastAsia"/>
          <w:smallCaps w:val="0"/>
          <w:noProof/>
          <w:kern w:val="2"/>
          <w:sz w:val="24"/>
          <w:szCs w:val="24"/>
          <w:lang w:val="en-US" w:eastAsia="en-US" w:bidi="ar-SA"/>
          <w14:ligatures w14:val="standardContextual"/>
        </w:rPr>
      </w:pPr>
      <w:hyperlink w:anchor="_Toc214456895" w:history="1">
        <w:r w:rsidRPr="004460C9">
          <w:rPr>
            <w:rStyle w:val="Hyperlink"/>
            <w:noProof/>
          </w:rPr>
          <w:t>Microsoft Cloud App Security</w:t>
        </w:r>
        <w:r>
          <w:rPr>
            <w:noProof/>
            <w:webHidden/>
          </w:rPr>
          <w:tab/>
        </w:r>
        <w:r>
          <w:rPr>
            <w:noProof/>
            <w:webHidden/>
          </w:rPr>
          <w:fldChar w:fldCharType="begin"/>
        </w:r>
        <w:r>
          <w:rPr>
            <w:noProof/>
            <w:webHidden/>
          </w:rPr>
          <w:instrText xml:space="preserve"> PAGEREF _Toc214456895 \h </w:instrText>
        </w:r>
        <w:r>
          <w:rPr>
            <w:noProof/>
            <w:webHidden/>
          </w:rPr>
        </w:r>
        <w:r>
          <w:rPr>
            <w:noProof/>
            <w:webHidden/>
          </w:rPr>
          <w:fldChar w:fldCharType="separate"/>
        </w:r>
        <w:r>
          <w:rPr>
            <w:noProof/>
            <w:webHidden/>
          </w:rPr>
          <w:t>108</w:t>
        </w:r>
        <w:r>
          <w:rPr>
            <w:noProof/>
            <w:webHidden/>
          </w:rPr>
          <w:fldChar w:fldCharType="end"/>
        </w:r>
      </w:hyperlink>
    </w:p>
    <w:p w14:paraId="0039C11C" w14:textId="4E491537" w:rsidR="001A7EE4" w:rsidRDefault="001A7EE4">
      <w:pPr>
        <w:pStyle w:val="TOC4"/>
        <w:rPr>
          <w:rFonts w:eastAsiaTheme="minorEastAsia"/>
          <w:smallCaps w:val="0"/>
          <w:noProof/>
          <w:kern w:val="2"/>
          <w:sz w:val="24"/>
          <w:szCs w:val="24"/>
          <w:lang w:val="en-US" w:eastAsia="en-US" w:bidi="ar-SA"/>
          <w14:ligatures w14:val="standardContextual"/>
        </w:rPr>
      </w:pPr>
      <w:hyperlink w:anchor="_Toc214456896" w:history="1">
        <w:r w:rsidRPr="004460C9">
          <w:rPr>
            <w:rStyle w:val="Hyperlink"/>
            <w:noProof/>
          </w:rPr>
          <w:t>Dragon Copilot</w:t>
        </w:r>
        <w:r>
          <w:rPr>
            <w:noProof/>
            <w:webHidden/>
          </w:rPr>
          <w:tab/>
        </w:r>
        <w:r>
          <w:rPr>
            <w:noProof/>
            <w:webHidden/>
          </w:rPr>
          <w:fldChar w:fldCharType="begin"/>
        </w:r>
        <w:r>
          <w:rPr>
            <w:noProof/>
            <w:webHidden/>
          </w:rPr>
          <w:instrText xml:space="preserve"> PAGEREF _Toc214456896 \h </w:instrText>
        </w:r>
        <w:r>
          <w:rPr>
            <w:noProof/>
            <w:webHidden/>
          </w:rPr>
        </w:r>
        <w:r>
          <w:rPr>
            <w:noProof/>
            <w:webHidden/>
          </w:rPr>
          <w:fldChar w:fldCharType="separate"/>
        </w:r>
        <w:r>
          <w:rPr>
            <w:noProof/>
            <w:webHidden/>
          </w:rPr>
          <w:t>109</w:t>
        </w:r>
        <w:r>
          <w:rPr>
            <w:noProof/>
            <w:webHidden/>
          </w:rPr>
          <w:fldChar w:fldCharType="end"/>
        </w:r>
      </w:hyperlink>
    </w:p>
    <w:p w14:paraId="42B1F5E9" w14:textId="2A16A27B" w:rsidR="001A7EE4" w:rsidRDefault="001A7EE4">
      <w:pPr>
        <w:pStyle w:val="TOC4"/>
        <w:rPr>
          <w:rFonts w:eastAsiaTheme="minorEastAsia"/>
          <w:smallCaps w:val="0"/>
          <w:noProof/>
          <w:kern w:val="2"/>
          <w:sz w:val="24"/>
          <w:szCs w:val="24"/>
          <w:lang w:val="en-US" w:eastAsia="en-US" w:bidi="ar-SA"/>
          <w14:ligatures w14:val="standardContextual"/>
        </w:rPr>
      </w:pPr>
      <w:hyperlink w:anchor="_Toc214456897" w:history="1">
        <w:r w:rsidRPr="004460C9">
          <w:rPr>
            <w:rStyle w:val="Hyperlink"/>
            <w:noProof/>
          </w:rPr>
          <w:t>Microsoft Power Automate</w:t>
        </w:r>
        <w:r>
          <w:rPr>
            <w:noProof/>
            <w:webHidden/>
          </w:rPr>
          <w:tab/>
        </w:r>
        <w:r>
          <w:rPr>
            <w:noProof/>
            <w:webHidden/>
          </w:rPr>
          <w:fldChar w:fldCharType="begin"/>
        </w:r>
        <w:r>
          <w:rPr>
            <w:noProof/>
            <w:webHidden/>
          </w:rPr>
          <w:instrText xml:space="preserve"> PAGEREF _Toc214456897 \h </w:instrText>
        </w:r>
        <w:r>
          <w:rPr>
            <w:noProof/>
            <w:webHidden/>
          </w:rPr>
        </w:r>
        <w:r>
          <w:rPr>
            <w:noProof/>
            <w:webHidden/>
          </w:rPr>
          <w:fldChar w:fldCharType="separate"/>
        </w:r>
        <w:r>
          <w:rPr>
            <w:noProof/>
            <w:webHidden/>
          </w:rPr>
          <w:t>109</w:t>
        </w:r>
        <w:r>
          <w:rPr>
            <w:noProof/>
            <w:webHidden/>
          </w:rPr>
          <w:fldChar w:fldCharType="end"/>
        </w:r>
      </w:hyperlink>
    </w:p>
    <w:p w14:paraId="4033C1F7" w14:textId="3634A6E4" w:rsidR="001A7EE4" w:rsidRDefault="001A7EE4">
      <w:pPr>
        <w:pStyle w:val="TOC4"/>
        <w:rPr>
          <w:rFonts w:eastAsiaTheme="minorEastAsia"/>
          <w:smallCaps w:val="0"/>
          <w:noProof/>
          <w:kern w:val="2"/>
          <w:sz w:val="24"/>
          <w:szCs w:val="24"/>
          <w:lang w:val="en-US" w:eastAsia="en-US" w:bidi="ar-SA"/>
          <w14:ligatures w14:val="standardContextual"/>
        </w:rPr>
      </w:pPr>
      <w:hyperlink w:anchor="_Toc214456898" w:history="1">
        <w:r w:rsidRPr="004460C9">
          <w:rPr>
            <w:rStyle w:val="Hyperlink"/>
            <w:noProof/>
          </w:rPr>
          <w:t>Microsoft Power Pages</w:t>
        </w:r>
        <w:r>
          <w:rPr>
            <w:noProof/>
            <w:webHidden/>
          </w:rPr>
          <w:tab/>
        </w:r>
        <w:r>
          <w:rPr>
            <w:noProof/>
            <w:webHidden/>
          </w:rPr>
          <w:fldChar w:fldCharType="begin"/>
        </w:r>
        <w:r>
          <w:rPr>
            <w:noProof/>
            <w:webHidden/>
          </w:rPr>
          <w:instrText xml:space="preserve"> PAGEREF _Toc214456898 \h </w:instrText>
        </w:r>
        <w:r>
          <w:rPr>
            <w:noProof/>
            <w:webHidden/>
          </w:rPr>
        </w:r>
        <w:r>
          <w:rPr>
            <w:noProof/>
            <w:webHidden/>
          </w:rPr>
          <w:fldChar w:fldCharType="separate"/>
        </w:r>
        <w:r>
          <w:rPr>
            <w:noProof/>
            <w:webHidden/>
          </w:rPr>
          <w:t>110</w:t>
        </w:r>
        <w:r>
          <w:rPr>
            <w:noProof/>
            <w:webHidden/>
          </w:rPr>
          <w:fldChar w:fldCharType="end"/>
        </w:r>
      </w:hyperlink>
    </w:p>
    <w:p w14:paraId="1CA4EC30" w14:textId="3DB73BCB" w:rsidR="001A7EE4" w:rsidRDefault="001A7EE4">
      <w:pPr>
        <w:pStyle w:val="TOC4"/>
        <w:rPr>
          <w:rFonts w:eastAsiaTheme="minorEastAsia"/>
          <w:smallCaps w:val="0"/>
          <w:noProof/>
          <w:kern w:val="2"/>
          <w:sz w:val="24"/>
          <w:szCs w:val="24"/>
          <w:lang w:val="en-US" w:eastAsia="en-US" w:bidi="ar-SA"/>
          <w14:ligatures w14:val="standardContextual"/>
        </w:rPr>
      </w:pPr>
      <w:hyperlink w:anchor="_Toc214456899" w:history="1">
        <w:r w:rsidRPr="004460C9">
          <w:rPr>
            <w:rStyle w:val="Hyperlink"/>
            <w:noProof/>
          </w:rPr>
          <w:t>Microsoft Intune</w:t>
        </w:r>
        <w:r>
          <w:rPr>
            <w:noProof/>
            <w:webHidden/>
          </w:rPr>
          <w:tab/>
        </w:r>
        <w:r>
          <w:rPr>
            <w:noProof/>
            <w:webHidden/>
          </w:rPr>
          <w:fldChar w:fldCharType="begin"/>
        </w:r>
        <w:r>
          <w:rPr>
            <w:noProof/>
            <w:webHidden/>
          </w:rPr>
          <w:instrText xml:space="preserve"> PAGEREF _Toc214456899 \h </w:instrText>
        </w:r>
        <w:r>
          <w:rPr>
            <w:noProof/>
            <w:webHidden/>
          </w:rPr>
        </w:r>
        <w:r>
          <w:rPr>
            <w:noProof/>
            <w:webHidden/>
          </w:rPr>
          <w:fldChar w:fldCharType="separate"/>
        </w:r>
        <w:r>
          <w:rPr>
            <w:noProof/>
            <w:webHidden/>
          </w:rPr>
          <w:t>110</w:t>
        </w:r>
        <w:r>
          <w:rPr>
            <w:noProof/>
            <w:webHidden/>
          </w:rPr>
          <w:fldChar w:fldCharType="end"/>
        </w:r>
      </w:hyperlink>
    </w:p>
    <w:p w14:paraId="7E059D8A" w14:textId="267470F1" w:rsidR="001A7EE4" w:rsidRDefault="001A7EE4">
      <w:pPr>
        <w:pStyle w:val="TOC4"/>
        <w:rPr>
          <w:rFonts w:eastAsiaTheme="minorEastAsia"/>
          <w:smallCaps w:val="0"/>
          <w:noProof/>
          <w:kern w:val="2"/>
          <w:sz w:val="24"/>
          <w:szCs w:val="24"/>
          <w:lang w:val="en-US" w:eastAsia="en-US" w:bidi="ar-SA"/>
          <w14:ligatures w14:val="standardContextual"/>
        </w:rPr>
      </w:pPr>
      <w:hyperlink w:anchor="_Toc214456900" w:history="1">
        <w:r w:rsidRPr="004460C9">
          <w:rPr>
            <w:rStyle w:val="Hyperlink"/>
            <w:noProof/>
          </w:rPr>
          <w:t>Microsoft Kaizala Pro</w:t>
        </w:r>
        <w:r>
          <w:rPr>
            <w:noProof/>
            <w:webHidden/>
          </w:rPr>
          <w:tab/>
        </w:r>
        <w:r>
          <w:rPr>
            <w:noProof/>
            <w:webHidden/>
          </w:rPr>
          <w:fldChar w:fldCharType="begin"/>
        </w:r>
        <w:r>
          <w:rPr>
            <w:noProof/>
            <w:webHidden/>
          </w:rPr>
          <w:instrText xml:space="preserve"> PAGEREF _Toc214456900 \h </w:instrText>
        </w:r>
        <w:r>
          <w:rPr>
            <w:noProof/>
            <w:webHidden/>
          </w:rPr>
        </w:r>
        <w:r>
          <w:rPr>
            <w:noProof/>
            <w:webHidden/>
          </w:rPr>
          <w:fldChar w:fldCharType="separate"/>
        </w:r>
        <w:r>
          <w:rPr>
            <w:noProof/>
            <w:webHidden/>
          </w:rPr>
          <w:t>111</w:t>
        </w:r>
        <w:r>
          <w:rPr>
            <w:noProof/>
            <w:webHidden/>
          </w:rPr>
          <w:fldChar w:fldCharType="end"/>
        </w:r>
      </w:hyperlink>
    </w:p>
    <w:p w14:paraId="3879A880" w14:textId="768F114F" w:rsidR="001A7EE4" w:rsidRDefault="001A7EE4">
      <w:pPr>
        <w:pStyle w:val="TOC4"/>
        <w:rPr>
          <w:rFonts w:eastAsiaTheme="minorEastAsia"/>
          <w:smallCaps w:val="0"/>
          <w:noProof/>
          <w:kern w:val="2"/>
          <w:sz w:val="24"/>
          <w:szCs w:val="24"/>
          <w:lang w:val="en-US" w:eastAsia="en-US" w:bidi="ar-SA"/>
          <w14:ligatures w14:val="standardContextual"/>
        </w:rPr>
      </w:pPr>
      <w:hyperlink w:anchor="_Toc214456901" w:history="1">
        <w:r w:rsidRPr="004460C9">
          <w:rPr>
            <w:rStyle w:val="Hyperlink"/>
            <w:noProof/>
          </w:rPr>
          <w:t>Microsoft Power Apps</w:t>
        </w:r>
        <w:r>
          <w:rPr>
            <w:noProof/>
            <w:webHidden/>
          </w:rPr>
          <w:tab/>
        </w:r>
        <w:r>
          <w:rPr>
            <w:noProof/>
            <w:webHidden/>
          </w:rPr>
          <w:fldChar w:fldCharType="begin"/>
        </w:r>
        <w:r>
          <w:rPr>
            <w:noProof/>
            <w:webHidden/>
          </w:rPr>
          <w:instrText xml:space="preserve"> PAGEREF _Toc214456901 \h </w:instrText>
        </w:r>
        <w:r>
          <w:rPr>
            <w:noProof/>
            <w:webHidden/>
          </w:rPr>
        </w:r>
        <w:r>
          <w:rPr>
            <w:noProof/>
            <w:webHidden/>
          </w:rPr>
          <w:fldChar w:fldCharType="separate"/>
        </w:r>
        <w:r>
          <w:rPr>
            <w:noProof/>
            <w:webHidden/>
          </w:rPr>
          <w:t>111</w:t>
        </w:r>
        <w:r>
          <w:rPr>
            <w:noProof/>
            <w:webHidden/>
          </w:rPr>
          <w:fldChar w:fldCharType="end"/>
        </w:r>
      </w:hyperlink>
    </w:p>
    <w:p w14:paraId="2E420999" w14:textId="08E8BA83" w:rsidR="001A7EE4" w:rsidRDefault="001A7EE4">
      <w:pPr>
        <w:pStyle w:val="TOC4"/>
        <w:rPr>
          <w:rFonts w:eastAsiaTheme="minorEastAsia"/>
          <w:smallCaps w:val="0"/>
          <w:noProof/>
          <w:kern w:val="2"/>
          <w:sz w:val="24"/>
          <w:szCs w:val="24"/>
          <w:lang w:val="en-US" w:eastAsia="en-US" w:bidi="ar-SA"/>
          <w14:ligatures w14:val="standardContextual"/>
        </w:rPr>
      </w:pPr>
      <w:hyperlink w:anchor="_Toc214456902" w:history="1">
        <w:r w:rsidRPr="004460C9">
          <w:rPr>
            <w:rStyle w:val="Hyperlink"/>
            <w:noProof/>
          </w:rPr>
          <w:t>Microsoft Copilot Studio</w:t>
        </w:r>
        <w:r>
          <w:rPr>
            <w:noProof/>
            <w:webHidden/>
          </w:rPr>
          <w:tab/>
        </w:r>
        <w:r>
          <w:rPr>
            <w:noProof/>
            <w:webHidden/>
          </w:rPr>
          <w:fldChar w:fldCharType="begin"/>
        </w:r>
        <w:r>
          <w:rPr>
            <w:noProof/>
            <w:webHidden/>
          </w:rPr>
          <w:instrText xml:space="preserve"> PAGEREF _Toc214456902 \h </w:instrText>
        </w:r>
        <w:r>
          <w:rPr>
            <w:noProof/>
            <w:webHidden/>
          </w:rPr>
        </w:r>
        <w:r>
          <w:rPr>
            <w:noProof/>
            <w:webHidden/>
          </w:rPr>
          <w:fldChar w:fldCharType="separate"/>
        </w:r>
        <w:r>
          <w:rPr>
            <w:noProof/>
            <w:webHidden/>
          </w:rPr>
          <w:t>111</w:t>
        </w:r>
        <w:r>
          <w:rPr>
            <w:noProof/>
            <w:webHidden/>
          </w:rPr>
          <w:fldChar w:fldCharType="end"/>
        </w:r>
      </w:hyperlink>
    </w:p>
    <w:p w14:paraId="3676F6EB" w14:textId="58E2A410" w:rsidR="001A7EE4" w:rsidRDefault="001A7EE4">
      <w:pPr>
        <w:pStyle w:val="TOC4"/>
        <w:rPr>
          <w:rFonts w:eastAsiaTheme="minorEastAsia"/>
          <w:smallCaps w:val="0"/>
          <w:noProof/>
          <w:kern w:val="2"/>
          <w:sz w:val="24"/>
          <w:szCs w:val="24"/>
          <w:lang w:val="en-US" w:eastAsia="en-US" w:bidi="ar-SA"/>
          <w14:ligatures w14:val="standardContextual"/>
        </w:rPr>
      </w:pPr>
      <w:hyperlink w:anchor="_Toc214456903" w:history="1">
        <w:r w:rsidRPr="004460C9">
          <w:rPr>
            <w:rStyle w:val="Hyperlink"/>
            <w:noProof/>
          </w:rPr>
          <w:t>Gestor de Sustentabilidade da Microsoft</w:t>
        </w:r>
        <w:r>
          <w:rPr>
            <w:noProof/>
            <w:webHidden/>
          </w:rPr>
          <w:tab/>
        </w:r>
        <w:r>
          <w:rPr>
            <w:noProof/>
            <w:webHidden/>
          </w:rPr>
          <w:fldChar w:fldCharType="begin"/>
        </w:r>
        <w:r>
          <w:rPr>
            <w:noProof/>
            <w:webHidden/>
          </w:rPr>
          <w:instrText xml:space="preserve"> PAGEREF _Toc214456903 \h </w:instrText>
        </w:r>
        <w:r>
          <w:rPr>
            <w:noProof/>
            <w:webHidden/>
          </w:rPr>
        </w:r>
        <w:r>
          <w:rPr>
            <w:noProof/>
            <w:webHidden/>
          </w:rPr>
          <w:fldChar w:fldCharType="separate"/>
        </w:r>
        <w:r>
          <w:rPr>
            <w:noProof/>
            <w:webHidden/>
          </w:rPr>
          <w:t>112</w:t>
        </w:r>
        <w:r>
          <w:rPr>
            <w:noProof/>
            <w:webHidden/>
          </w:rPr>
          <w:fldChar w:fldCharType="end"/>
        </w:r>
      </w:hyperlink>
    </w:p>
    <w:p w14:paraId="0CEB6207" w14:textId="2C249E70" w:rsidR="001A7EE4" w:rsidRDefault="001A7EE4">
      <w:pPr>
        <w:pStyle w:val="TOC4"/>
        <w:rPr>
          <w:rFonts w:eastAsiaTheme="minorEastAsia"/>
          <w:smallCaps w:val="0"/>
          <w:noProof/>
          <w:kern w:val="2"/>
          <w:sz w:val="24"/>
          <w:szCs w:val="24"/>
          <w:lang w:val="en-US" w:eastAsia="en-US" w:bidi="ar-SA"/>
          <w14:ligatures w14:val="standardContextual"/>
        </w:rPr>
      </w:pPr>
      <w:hyperlink w:anchor="_Toc214456904" w:history="1">
        <w:r w:rsidRPr="004460C9">
          <w:rPr>
            <w:rStyle w:val="Hyperlink"/>
            <w:noProof/>
          </w:rPr>
          <w:t>Minecraft: Education Edition</w:t>
        </w:r>
        <w:r>
          <w:rPr>
            <w:noProof/>
            <w:webHidden/>
          </w:rPr>
          <w:tab/>
        </w:r>
        <w:r>
          <w:rPr>
            <w:noProof/>
            <w:webHidden/>
          </w:rPr>
          <w:fldChar w:fldCharType="begin"/>
        </w:r>
        <w:r>
          <w:rPr>
            <w:noProof/>
            <w:webHidden/>
          </w:rPr>
          <w:instrText xml:space="preserve"> PAGEREF _Toc214456904 \h </w:instrText>
        </w:r>
        <w:r>
          <w:rPr>
            <w:noProof/>
            <w:webHidden/>
          </w:rPr>
        </w:r>
        <w:r>
          <w:rPr>
            <w:noProof/>
            <w:webHidden/>
          </w:rPr>
          <w:fldChar w:fldCharType="separate"/>
        </w:r>
        <w:r>
          <w:rPr>
            <w:noProof/>
            <w:webHidden/>
          </w:rPr>
          <w:t>112</w:t>
        </w:r>
        <w:r>
          <w:rPr>
            <w:noProof/>
            <w:webHidden/>
          </w:rPr>
          <w:fldChar w:fldCharType="end"/>
        </w:r>
      </w:hyperlink>
    </w:p>
    <w:p w14:paraId="3D1C530D" w14:textId="69F30747" w:rsidR="001A7EE4" w:rsidRDefault="001A7EE4">
      <w:pPr>
        <w:pStyle w:val="TOC4"/>
        <w:rPr>
          <w:rFonts w:eastAsiaTheme="minorEastAsia"/>
          <w:smallCaps w:val="0"/>
          <w:noProof/>
          <w:kern w:val="2"/>
          <w:sz w:val="24"/>
          <w:szCs w:val="24"/>
          <w:lang w:val="en-US" w:eastAsia="en-US" w:bidi="ar-SA"/>
          <w14:ligatures w14:val="standardContextual"/>
        </w:rPr>
      </w:pPr>
      <w:hyperlink w:anchor="_Toc214456905" w:history="1">
        <w:r w:rsidRPr="004460C9">
          <w:rPr>
            <w:rStyle w:val="Hyperlink"/>
            <w:noProof/>
          </w:rPr>
          <w:t>Power BI Embedded</w:t>
        </w:r>
        <w:r>
          <w:rPr>
            <w:noProof/>
            <w:webHidden/>
          </w:rPr>
          <w:tab/>
        </w:r>
        <w:r>
          <w:rPr>
            <w:noProof/>
            <w:webHidden/>
          </w:rPr>
          <w:fldChar w:fldCharType="begin"/>
        </w:r>
        <w:r>
          <w:rPr>
            <w:noProof/>
            <w:webHidden/>
          </w:rPr>
          <w:instrText xml:space="preserve"> PAGEREF _Toc214456905 \h </w:instrText>
        </w:r>
        <w:r>
          <w:rPr>
            <w:noProof/>
            <w:webHidden/>
          </w:rPr>
        </w:r>
        <w:r>
          <w:rPr>
            <w:noProof/>
            <w:webHidden/>
          </w:rPr>
          <w:fldChar w:fldCharType="separate"/>
        </w:r>
        <w:r>
          <w:rPr>
            <w:noProof/>
            <w:webHidden/>
          </w:rPr>
          <w:t>112</w:t>
        </w:r>
        <w:r>
          <w:rPr>
            <w:noProof/>
            <w:webHidden/>
          </w:rPr>
          <w:fldChar w:fldCharType="end"/>
        </w:r>
      </w:hyperlink>
    </w:p>
    <w:p w14:paraId="02AAEF85" w14:textId="49E85EF4" w:rsidR="001A7EE4" w:rsidRDefault="001A7EE4">
      <w:pPr>
        <w:pStyle w:val="TOC4"/>
        <w:rPr>
          <w:rFonts w:eastAsiaTheme="minorEastAsia"/>
          <w:smallCaps w:val="0"/>
          <w:noProof/>
          <w:kern w:val="2"/>
          <w:sz w:val="24"/>
          <w:szCs w:val="24"/>
          <w:lang w:val="en-US" w:eastAsia="en-US" w:bidi="ar-SA"/>
          <w14:ligatures w14:val="standardContextual"/>
        </w:rPr>
      </w:pPr>
      <w:hyperlink w:anchor="_Toc214456906" w:history="1">
        <w:r w:rsidRPr="004460C9">
          <w:rPr>
            <w:rStyle w:val="Hyperlink"/>
            <w:noProof/>
          </w:rPr>
          <w:t>Power BI Premium</w:t>
        </w:r>
        <w:r>
          <w:rPr>
            <w:noProof/>
            <w:webHidden/>
          </w:rPr>
          <w:tab/>
        </w:r>
        <w:r>
          <w:rPr>
            <w:noProof/>
            <w:webHidden/>
          </w:rPr>
          <w:fldChar w:fldCharType="begin"/>
        </w:r>
        <w:r>
          <w:rPr>
            <w:noProof/>
            <w:webHidden/>
          </w:rPr>
          <w:instrText xml:space="preserve"> PAGEREF _Toc214456906 \h </w:instrText>
        </w:r>
        <w:r>
          <w:rPr>
            <w:noProof/>
            <w:webHidden/>
          </w:rPr>
        </w:r>
        <w:r>
          <w:rPr>
            <w:noProof/>
            <w:webHidden/>
          </w:rPr>
          <w:fldChar w:fldCharType="separate"/>
        </w:r>
        <w:r>
          <w:rPr>
            <w:noProof/>
            <w:webHidden/>
          </w:rPr>
          <w:t>113</w:t>
        </w:r>
        <w:r>
          <w:rPr>
            <w:noProof/>
            <w:webHidden/>
          </w:rPr>
          <w:fldChar w:fldCharType="end"/>
        </w:r>
      </w:hyperlink>
    </w:p>
    <w:p w14:paraId="72B373F7" w14:textId="0BABCD92" w:rsidR="001A7EE4" w:rsidRDefault="001A7EE4">
      <w:pPr>
        <w:pStyle w:val="TOC4"/>
        <w:rPr>
          <w:rFonts w:eastAsiaTheme="minorEastAsia"/>
          <w:smallCaps w:val="0"/>
          <w:noProof/>
          <w:kern w:val="2"/>
          <w:sz w:val="24"/>
          <w:szCs w:val="24"/>
          <w:lang w:val="en-US" w:eastAsia="en-US" w:bidi="ar-SA"/>
          <w14:ligatures w14:val="standardContextual"/>
        </w:rPr>
      </w:pPr>
      <w:hyperlink w:anchor="_Toc214456907" w:history="1">
        <w:r w:rsidRPr="004460C9">
          <w:rPr>
            <w:rStyle w:val="Hyperlink"/>
            <w:noProof/>
          </w:rPr>
          <w:t>Power BI Pro</w:t>
        </w:r>
        <w:r>
          <w:rPr>
            <w:noProof/>
            <w:webHidden/>
          </w:rPr>
          <w:tab/>
        </w:r>
        <w:r>
          <w:rPr>
            <w:noProof/>
            <w:webHidden/>
          </w:rPr>
          <w:fldChar w:fldCharType="begin"/>
        </w:r>
        <w:r>
          <w:rPr>
            <w:noProof/>
            <w:webHidden/>
          </w:rPr>
          <w:instrText xml:space="preserve"> PAGEREF _Toc214456907 \h </w:instrText>
        </w:r>
        <w:r>
          <w:rPr>
            <w:noProof/>
            <w:webHidden/>
          </w:rPr>
        </w:r>
        <w:r>
          <w:rPr>
            <w:noProof/>
            <w:webHidden/>
          </w:rPr>
          <w:fldChar w:fldCharType="separate"/>
        </w:r>
        <w:r>
          <w:rPr>
            <w:noProof/>
            <w:webHidden/>
          </w:rPr>
          <w:t>113</w:t>
        </w:r>
        <w:r>
          <w:rPr>
            <w:noProof/>
            <w:webHidden/>
          </w:rPr>
          <w:fldChar w:fldCharType="end"/>
        </w:r>
      </w:hyperlink>
    </w:p>
    <w:p w14:paraId="6974C2D7" w14:textId="0C6F4C6C" w:rsidR="001A7EE4" w:rsidRDefault="001A7EE4">
      <w:pPr>
        <w:pStyle w:val="TOC4"/>
        <w:rPr>
          <w:rFonts w:eastAsiaTheme="minorEastAsia"/>
          <w:smallCaps w:val="0"/>
          <w:noProof/>
          <w:kern w:val="2"/>
          <w:sz w:val="24"/>
          <w:szCs w:val="24"/>
          <w:lang w:val="en-US" w:eastAsia="en-US" w:bidi="ar-SA"/>
          <w14:ligatures w14:val="standardContextual"/>
        </w:rPr>
      </w:pPr>
      <w:hyperlink w:anchor="_Toc214456908" w:history="1">
        <w:r w:rsidRPr="004460C9">
          <w:rPr>
            <w:rStyle w:val="Hyperlink"/>
            <w:noProof/>
          </w:rPr>
          <w:t>Azure AI Translator</w:t>
        </w:r>
        <w:r>
          <w:rPr>
            <w:noProof/>
            <w:webHidden/>
          </w:rPr>
          <w:tab/>
        </w:r>
        <w:r>
          <w:rPr>
            <w:noProof/>
            <w:webHidden/>
          </w:rPr>
          <w:fldChar w:fldCharType="begin"/>
        </w:r>
        <w:r>
          <w:rPr>
            <w:noProof/>
            <w:webHidden/>
          </w:rPr>
          <w:instrText xml:space="preserve"> PAGEREF _Toc214456908 \h </w:instrText>
        </w:r>
        <w:r>
          <w:rPr>
            <w:noProof/>
            <w:webHidden/>
          </w:rPr>
        </w:r>
        <w:r>
          <w:rPr>
            <w:noProof/>
            <w:webHidden/>
          </w:rPr>
          <w:fldChar w:fldCharType="separate"/>
        </w:r>
        <w:r>
          <w:rPr>
            <w:noProof/>
            <w:webHidden/>
          </w:rPr>
          <w:t>114</w:t>
        </w:r>
        <w:r>
          <w:rPr>
            <w:noProof/>
            <w:webHidden/>
          </w:rPr>
          <w:fldChar w:fldCharType="end"/>
        </w:r>
      </w:hyperlink>
    </w:p>
    <w:p w14:paraId="3F63A977" w14:textId="5FB9A8E9" w:rsidR="001A7EE4" w:rsidRDefault="001A7EE4">
      <w:pPr>
        <w:pStyle w:val="TOC4"/>
        <w:rPr>
          <w:rFonts w:eastAsiaTheme="minorEastAsia"/>
          <w:smallCaps w:val="0"/>
          <w:noProof/>
          <w:kern w:val="2"/>
          <w:sz w:val="24"/>
          <w:szCs w:val="24"/>
          <w:lang w:val="en-US" w:eastAsia="en-US" w:bidi="ar-SA"/>
          <w14:ligatures w14:val="standardContextual"/>
        </w:rPr>
      </w:pPr>
      <w:hyperlink w:anchor="_Toc214456909" w:history="1">
        <w:r w:rsidRPr="004460C9">
          <w:rPr>
            <w:rStyle w:val="Hyperlink"/>
            <w:noProof/>
          </w:rPr>
          <w:t>Microsoft Defender para Endpoint</w:t>
        </w:r>
        <w:r>
          <w:rPr>
            <w:noProof/>
            <w:webHidden/>
          </w:rPr>
          <w:tab/>
        </w:r>
        <w:r>
          <w:rPr>
            <w:noProof/>
            <w:webHidden/>
          </w:rPr>
          <w:fldChar w:fldCharType="begin"/>
        </w:r>
        <w:r>
          <w:rPr>
            <w:noProof/>
            <w:webHidden/>
          </w:rPr>
          <w:instrText xml:space="preserve"> PAGEREF _Toc214456909 \h </w:instrText>
        </w:r>
        <w:r>
          <w:rPr>
            <w:noProof/>
            <w:webHidden/>
          </w:rPr>
        </w:r>
        <w:r>
          <w:rPr>
            <w:noProof/>
            <w:webHidden/>
          </w:rPr>
          <w:fldChar w:fldCharType="separate"/>
        </w:r>
        <w:r>
          <w:rPr>
            <w:noProof/>
            <w:webHidden/>
          </w:rPr>
          <w:t>114</w:t>
        </w:r>
        <w:r>
          <w:rPr>
            <w:noProof/>
            <w:webHidden/>
          </w:rPr>
          <w:fldChar w:fldCharType="end"/>
        </w:r>
      </w:hyperlink>
    </w:p>
    <w:p w14:paraId="6D6921A1" w14:textId="25ABF3B8" w:rsidR="001A7EE4" w:rsidRDefault="001A7EE4">
      <w:pPr>
        <w:pStyle w:val="TOC4"/>
        <w:rPr>
          <w:rFonts w:eastAsiaTheme="minorEastAsia"/>
          <w:smallCaps w:val="0"/>
          <w:noProof/>
          <w:kern w:val="2"/>
          <w:sz w:val="24"/>
          <w:szCs w:val="24"/>
          <w:lang w:val="en-US" w:eastAsia="en-US" w:bidi="ar-SA"/>
          <w14:ligatures w14:val="standardContextual"/>
        </w:rPr>
      </w:pPr>
      <w:hyperlink w:anchor="_Toc214456910" w:history="1">
        <w:r w:rsidRPr="004460C9">
          <w:rPr>
            <w:rStyle w:val="Hyperlink"/>
            <w:noProof/>
          </w:rPr>
          <w:t>Impressão Universal</w:t>
        </w:r>
        <w:r>
          <w:rPr>
            <w:noProof/>
            <w:webHidden/>
          </w:rPr>
          <w:tab/>
        </w:r>
        <w:r>
          <w:rPr>
            <w:noProof/>
            <w:webHidden/>
          </w:rPr>
          <w:fldChar w:fldCharType="begin"/>
        </w:r>
        <w:r>
          <w:rPr>
            <w:noProof/>
            <w:webHidden/>
          </w:rPr>
          <w:instrText xml:space="preserve"> PAGEREF _Toc214456910 \h </w:instrText>
        </w:r>
        <w:r>
          <w:rPr>
            <w:noProof/>
            <w:webHidden/>
          </w:rPr>
        </w:r>
        <w:r>
          <w:rPr>
            <w:noProof/>
            <w:webHidden/>
          </w:rPr>
          <w:fldChar w:fldCharType="separate"/>
        </w:r>
        <w:r>
          <w:rPr>
            <w:noProof/>
            <w:webHidden/>
          </w:rPr>
          <w:t>114</w:t>
        </w:r>
        <w:r>
          <w:rPr>
            <w:noProof/>
            <w:webHidden/>
          </w:rPr>
          <w:fldChar w:fldCharType="end"/>
        </w:r>
      </w:hyperlink>
    </w:p>
    <w:p w14:paraId="753C10CD" w14:textId="49953149" w:rsidR="001A7EE4" w:rsidRDefault="001A7EE4">
      <w:pPr>
        <w:pStyle w:val="TOC4"/>
        <w:rPr>
          <w:rFonts w:eastAsiaTheme="minorEastAsia"/>
          <w:smallCaps w:val="0"/>
          <w:noProof/>
          <w:kern w:val="2"/>
          <w:sz w:val="24"/>
          <w:szCs w:val="24"/>
          <w:lang w:val="en-US" w:eastAsia="en-US" w:bidi="ar-SA"/>
          <w14:ligatures w14:val="standardContextual"/>
        </w:rPr>
      </w:pPr>
      <w:hyperlink w:anchor="_Toc214456911" w:history="1">
        <w:r w:rsidRPr="004460C9">
          <w:rPr>
            <w:rStyle w:val="Hyperlink"/>
            <w:noProof/>
          </w:rPr>
          <w:t>Windows 365</w:t>
        </w:r>
        <w:r>
          <w:rPr>
            <w:noProof/>
            <w:webHidden/>
          </w:rPr>
          <w:tab/>
        </w:r>
        <w:r>
          <w:rPr>
            <w:noProof/>
            <w:webHidden/>
          </w:rPr>
          <w:fldChar w:fldCharType="begin"/>
        </w:r>
        <w:r>
          <w:rPr>
            <w:noProof/>
            <w:webHidden/>
          </w:rPr>
          <w:instrText xml:space="preserve"> PAGEREF _Toc214456911 \h </w:instrText>
        </w:r>
        <w:r>
          <w:rPr>
            <w:noProof/>
            <w:webHidden/>
          </w:rPr>
        </w:r>
        <w:r>
          <w:rPr>
            <w:noProof/>
            <w:webHidden/>
          </w:rPr>
          <w:fldChar w:fldCharType="separate"/>
        </w:r>
        <w:r>
          <w:rPr>
            <w:noProof/>
            <w:webHidden/>
          </w:rPr>
          <w:t>115</w:t>
        </w:r>
        <w:r>
          <w:rPr>
            <w:noProof/>
            <w:webHidden/>
          </w:rPr>
          <w:fldChar w:fldCharType="end"/>
        </w:r>
      </w:hyperlink>
    </w:p>
    <w:p w14:paraId="1C5D774B" w14:textId="73B8455A" w:rsidR="001A7EE4" w:rsidRDefault="001A7EE4">
      <w:pPr>
        <w:pStyle w:val="TOC1"/>
        <w:rPr>
          <w:rFonts w:eastAsiaTheme="minorEastAsia"/>
          <w:b w:val="0"/>
          <w:caps w:val="0"/>
          <w:noProof/>
          <w:kern w:val="2"/>
          <w:sz w:val="24"/>
          <w:szCs w:val="24"/>
          <w:lang w:val="en-US" w:eastAsia="en-US" w:bidi="ar-SA"/>
          <w14:ligatures w14:val="standardContextual"/>
        </w:rPr>
      </w:pPr>
      <w:hyperlink w:anchor="_Toc214456912" w:history="1">
        <w:r w:rsidRPr="004460C9">
          <w:rPr>
            <w:rStyle w:val="Hyperlink"/>
            <w:noProof/>
          </w:rPr>
          <w:t>Apêndice A – Compromisso de Nível de Serviço para Deteção e Bloqueio de Vírus, Eficácia do Spam ou Falso Positivo</w:t>
        </w:r>
        <w:r>
          <w:rPr>
            <w:noProof/>
            <w:webHidden/>
          </w:rPr>
          <w:tab/>
        </w:r>
        <w:r>
          <w:rPr>
            <w:noProof/>
            <w:webHidden/>
          </w:rPr>
          <w:fldChar w:fldCharType="begin"/>
        </w:r>
        <w:r>
          <w:rPr>
            <w:noProof/>
            <w:webHidden/>
          </w:rPr>
          <w:instrText xml:space="preserve"> PAGEREF _Toc214456912 \h </w:instrText>
        </w:r>
        <w:r>
          <w:rPr>
            <w:noProof/>
            <w:webHidden/>
          </w:rPr>
        </w:r>
        <w:r>
          <w:rPr>
            <w:noProof/>
            <w:webHidden/>
          </w:rPr>
          <w:fldChar w:fldCharType="separate"/>
        </w:r>
        <w:r>
          <w:rPr>
            <w:noProof/>
            <w:webHidden/>
          </w:rPr>
          <w:t>115</w:t>
        </w:r>
        <w:r>
          <w:rPr>
            <w:noProof/>
            <w:webHidden/>
          </w:rPr>
          <w:fldChar w:fldCharType="end"/>
        </w:r>
      </w:hyperlink>
    </w:p>
    <w:p w14:paraId="16ED5D8F" w14:textId="48B64499"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B1CA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F01ED6">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Introdução"/>
      <w:bookmarkStart w:id="11" w:name="_Toc214456721"/>
      <w:bookmarkStart w:id="12" w:name="Introduction"/>
      <w:r>
        <w:lastRenderedPageBreak/>
        <w:t>Introdução</w:t>
      </w:r>
      <w:bookmarkEnd w:id="7"/>
      <w:bookmarkEnd w:id="8"/>
      <w:bookmarkEnd w:id="9"/>
      <w:bookmarkEnd w:id="10"/>
      <w:bookmarkEnd w:id="11"/>
    </w:p>
    <w:p w14:paraId="0B3153E8" w14:textId="533C83C4" w:rsidR="00FA110B" w:rsidRPr="00EF7CF9" w:rsidRDefault="008D1A52" w:rsidP="00F01ED6">
      <w:pPr>
        <w:pStyle w:val="ProductList-SubSection1Heading"/>
      </w:pPr>
      <w:bookmarkStart w:id="13" w:name="_Toc457812795"/>
      <w:bookmarkStart w:id="14" w:name="_Toc457821501"/>
      <w:bookmarkEnd w:id="12"/>
      <w:r>
        <w:t>Acerca deste Documento</w:t>
      </w:r>
      <w:bookmarkEnd w:id="13"/>
      <w:bookmarkEnd w:id="14"/>
    </w:p>
    <w:p w14:paraId="77CF1F44" w14:textId="1A984534" w:rsidR="00E11454" w:rsidRPr="00EF7CF9" w:rsidRDefault="00E11454" w:rsidP="00F01ED6">
      <w:pPr>
        <w:pStyle w:val="ProductList-Body"/>
        <w:tabs>
          <w:tab w:val="clear" w:pos="360"/>
          <w:tab w:val="clear" w:pos="720"/>
          <w:tab w:val="clear" w:pos="1080"/>
        </w:tabs>
      </w:pPr>
      <w:r>
        <w:t xml:space="preserve">Este Contrato de Nível de Serviço para os Serviços Online da Microsoft (este </w:t>
      </w:r>
      <w:r w:rsidR="00380305">
        <w:t>“</w:t>
      </w:r>
      <w:r>
        <w:t>SLA</w:t>
      </w:r>
      <w:r w:rsidR="00380305">
        <w:t>”</w:t>
      </w:r>
      <w:r>
        <w:t xml:space="preserve">) é uma parte integrante do contrato de licenciamento em volume da Microsoft (o </w:t>
      </w:r>
      <w:r w:rsidR="00380305">
        <w:t>“</w:t>
      </w:r>
      <w:r>
        <w:t>Contrato</w:t>
      </w:r>
      <w:r w:rsidR="00380305">
        <w:t>”</w:t>
      </w:r>
      <w:r>
        <w:t xml:space="preserve">) do Cliente. Os termos em maiúsculas utilizados, mas não definidos, neste SLA terão o significado que lhes foi atribuído no Contrato. Este SLA aplica-se aos Serviços Online da Microsoft listados no presente (um </w:t>
      </w:r>
      <w:r w:rsidR="00380305">
        <w:t>“</w:t>
      </w:r>
      <w:r>
        <w:t>Serviço</w:t>
      </w:r>
      <w:r w:rsidR="00380305">
        <w:t>”</w:t>
      </w:r>
      <w:r>
        <w:t xml:space="preserve"> ou os </w:t>
      </w:r>
      <w:r w:rsidR="00380305">
        <w:t>“</w:t>
      </w:r>
      <w:r>
        <w:t>Serviços</w:t>
      </w:r>
      <w:r w:rsidR="00380305">
        <w:t>”</w:t>
      </w:r>
      <w:r>
        <w:t>), mas não se aplicam a serviços com marca separada disponibilizados ou ligados aos Serviços, ou a qualquer software no local que seja parte de qualquer Serviço.</w:t>
      </w:r>
    </w:p>
    <w:p w14:paraId="3CBD9792" w14:textId="77777777" w:rsidR="00E11454" w:rsidRPr="00EF7CF9" w:rsidRDefault="00E11454" w:rsidP="00F01ED6">
      <w:pPr>
        <w:pStyle w:val="ProductList-Body"/>
        <w:tabs>
          <w:tab w:val="clear" w:pos="360"/>
          <w:tab w:val="clear" w:pos="720"/>
          <w:tab w:val="clear" w:pos="1080"/>
        </w:tabs>
      </w:pPr>
    </w:p>
    <w:p w14:paraId="5FEF6AC3" w14:textId="5B928EFD" w:rsidR="00E11454" w:rsidRDefault="00E11454" w:rsidP="00F01ED6">
      <w:pPr>
        <w:pStyle w:val="ProductList-Body"/>
        <w:tabs>
          <w:tab w:val="clear" w:pos="360"/>
          <w:tab w:val="clear" w:pos="720"/>
          <w:tab w:val="clear" w:pos="1080"/>
        </w:tabs>
        <w:rPr>
          <w:rFonts w:ascii="Calibri" w:hAnsi="Calibri" w:cs="Calibri"/>
        </w:rPr>
      </w:pPr>
      <w:r>
        <w:rPr>
          <w:rFonts w:ascii="Calibri" w:hAnsi="Calibri" w:cs="Calibri"/>
        </w:rPr>
        <w:t xml:space="preserve">Se a Microsoft não atingir e mantiver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atual deste SLA em qualquer altura ao visitar </w:t>
      </w:r>
      <w:r>
        <w:fldChar w:fldCharType="begin"/>
      </w:r>
      <w:r>
        <w:instrText>HYPERLINK "https://aka.ms/CSLA"</w:instrText>
      </w:r>
      <w:r>
        <w:fldChar w:fldCharType="separate"/>
      </w:r>
      <w:r>
        <w:rPr>
          <w:rStyle w:val="Hyperlink"/>
        </w:rPr>
        <w:t>https://aka.ms/CSLA</w:t>
      </w:r>
      <w:r>
        <w:fldChar w:fldCharType="end"/>
      </w:r>
      <w:r>
        <w:rPr>
          <w:rFonts w:ascii="Calibri" w:hAnsi="Calibri" w:cs="Calibri"/>
        </w:rPr>
        <w:t>.</w:t>
      </w:r>
    </w:p>
    <w:p w14:paraId="397D80C5" w14:textId="4193137C" w:rsidR="00DD4A55" w:rsidRDefault="00DD4A55" w:rsidP="00F01ED6">
      <w:pPr>
        <w:pStyle w:val="ProductList-Body"/>
        <w:tabs>
          <w:tab w:val="clear" w:pos="360"/>
          <w:tab w:val="clear" w:pos="720"/>
          <w:tab w:val="clear" w:pos="1080"/>
        </w:tabs>
        <w:rPr>
          <w:rFonts w:ascii="Calibri" w:hAnsi="Calibri" w:cs="Calibri"/>
        </w:rPr>
      </w:pPr>
    </w:p>
    <w:p w14:paraId="727066FE" w14:textId="78F0C8B4" w:rsidR="00DD4A55" w:rsidRPr="00EF7CF9" w:rsidRDefault="00DD4A55" w:rsidP="00F01ED6">
      <w:pPr>
        <w:pStyle w:val="ProductList-Body"/>
        <w:tabs>
          <w:tab w:val="clear" w:pos="360"/>
          <w:tab w:val="clear" w:pos="720"/>
          <w:tab w:val="clear" w:pos="1080"/>
        </w:tabs>
        <w:rPr>
          <w:rFonts w:ascii="Calibri" w:hAnsi="Calibri" w:cs="Calibri"/>
        </w:rPr>
      </w:pPr>
      <w:r>
        <w:rPr>
          <w:rFonts w:ascii="Calibri" w:hAnsi="Calibri" w:cs="Calibri"/>
        </w:rPr>
        <w:t>As Pré-visualizações e os Serviços Online, e/ou os níveis de serviço prestados gratuitamente não estão incluídos nem são elegíveis para créditos ou</w:t>
      </w:r>
      <w:r w:rsidR="004922CC">
        <w:rPr>
          <w:rFonts w:ascii="Calibri" w:hAnsi="Calibri" w:cs="Calibri"/>
        </w:rPr>
        <w:t> </w:t>
      </w:r>
      <w:r>
        <w:rPr>
          <w:rFonts w:ascii="Calibri" w:hAnsi="Calibri" w:cs="Calibri"/>
        </w:rPr>
        <w:t>reclamações relacionadas com o SLA.</w:t>
      </w:r>
    </w:p>
    <w:p w14:paraId="65686147" w14:textId="004AAA72" w:rsidR="008D1A52" w:rsidRPr="00EF7CF9" w:rsidRDefault="008D1A52" w:rsidP="00F01ED6">
      <w:pPr>
        <w:pStyle w:val="ProductList-SubSection1Heading"/>
      </w:pPr>
      <w:bookmarkStart w:id="15" w:name="_Toc457812796"/>
      <w:bookmarkStart w:id="16" w:name="_Toc457821502"/>
      <w:r>
        <w:t>Versões Anteriores do Presente Documento</w:t>
      </w:r>
      <w:bookmarkEnd w:id="15"/>
      <w:bookmarkEnd w:id="16"/>
    </w:p>
    <w:p w14:paraId="69561C1A" w14:textId="2C21BF8F" w:rsidR="0035123C" w:rsidRPr="00EF7CF9" w:rsidRDefault="007804B9" w:rsidP="00F01ED6">
      <w:pPr>
        <w:pStyle w:val="ProductList-Body"/>
        <w:tabs>
          <w:tab w:val="clear" w:pos="360"/>
          <w:tab w:val="clear" w:pos="720"/>
          <w:tab w:val="clear" w:pos="1080"/>
        </w:tabs>
        <w:ind w:right="900"/>
      </w:pPr>
      <w:r>
        <w:t xml:space="preserve">Este SLA fornece informações sobre os Serviços atualmente disponíveis. Estão disponíveis versões anteriores deste documento em </w:t>
      </w:r>
      <w:r>
        <w:fldChar w:fldCharType="begin"/>
      </w:r>
      <w:r>
        <w:instrText>HYPERLINK "http://www.microsoftvolumelicensing.com/"</w:instrText>
      </w:r>
      <w:r>
        <w:fldChar w:fldCharType="separate"/>
      </w:r>
      <w:r>
        <w:rPr>
          <w:rStyle w:val="Hyperlink"/>
        </w:rPr>
        <w:t>http</w:t>
      </w:r>
      <w:r w:rsidRPr="00473DD3">
        <w:rPr>
          <w:rStyle w:val="Hyperlink"/>
        </w:rPr>
        <w:t>:</w:t>
      </w:r>
      <w:r>
        <w:rPr>
          <w:rStyle w:val="Hyperlink"/>
        </w:rPr>
        <w:t>//www.microsoftvolumelicensing.com</w:t>
      </w:r>
      <w:r>
        <w:fldChar w:fldCharType="end"/>
      </w:r>
      <w:r>
        <w:t>. Para encontrar a versão necessária, um cliente poderá contactar o respetivo revendedor ou o Gestor de Conta Microsoft.</w:t>
      </w:r>
    </w:p>
    <w:p w14:paraId="7F05D0EA" w14:textId="6A442A7D" w:rsidR="008D1A52" w:rsidRPr="00EF7CF9" w:rsidRDefault="008D1A52" w:rsidP="00F01ED6">
      <w:pPr>
        <w:pStyle w:val="ProductList-SubSection1Heading"/>
      </w:pPr>
      <w:bookmarkStart w:id="17" w:name="_Toc457812797"/>
      <w:bookmarkStart w:id="18" w:name="_Toc457821503"/>
      <w:r>
        <w:t>Clarificações e Resumo de Alterações a este Documento</w:t>
      </w:r>
      <w:bookmarkEnd w:id="17"/>
      <w:bookmarkEnd w:id="18"/>
    </w:p>
    <w:p w14:paraId="2487F2A9" w14:textId="2A379FE0" w:rsidR="0035123C" w:rsidRPr="00EF7CF9" w:rsidRDefault="0035123C" w:rsidP="00F01ED6">
      <w:pPr>
        <w:pStyle w:val="ProductList-Body"/>
        <w:tabs>
          <w:tab w:val="clear" w:pos="360"/>
          <w:tab w:val="clear" w:pos="720"/>
          <w:tab w:val="clear" w:pos="1080"/>
        </w:tabs>
      </w:pPr>
      <w:r>
        <w:t>Abaixo encontram-se as adições, eliminações e outras alterações recentes a este SLA. Além disso, encontram-se listadas abaixo as clarificações da</w:t>
      </w:r>
      <w:r w:rsidR="00B3758F">
        <w:t> </w:t>
      </w:r>
      <w:r>
        <w:t>política da Microsoft em resposta às questões comuns dos clientes.</w:t>
      </w:r>
    </w:p>
    <w:p w14:paraId="0E7501E2" w14:textId="6DDC6277" w:rsidR="0035123C" w:rsidRDefault="0035123C" w:rsidP="00F01ED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215"/>
        <w:gridCol w:w="5575"/>
      </w:tblGrid>
      <w:tr w:rsidR="00CC3273" w:rsidRPr="00571855" w14:paraId="740EEFFB" w14:textId="77777777" w:rsidTr="00315F59">
        <w:trPr>
          <w:tblHeader/>
        </w:trPr>
        <w:tc>
          <w:tcPr>
            <w:tcW w:w="5215" w:type="dxa"/>
            <w:shd w:val="clear" w:color="auto" w:fill="0072C6"/>
          </w:tcPr>
          <w:p w14:paraId="4BA49666" w14:textId="3EA722ED" w:rsidR="00CC3273" w:rsidRPr="006D4DC5" w:rsidRDefault="00CC3273" w:rsidP="00F01ED6">
            <w:pPr>
              <w:pStyle w:val="ProductList-OfferingBody"/>
            </w:pPr>
            <w:r>
              <w:rPr>
                <w:color w:val="FFFFFF" w:themeColor="background1"/>
              </w:rPr>
              <w:t>Aditamentos/Atualizações</w:t>
            </w:r>
          </w:p>
        </w:tc>
        <w:tc>
          <w:tcPr>
            <w:tcW w:w="5575" w:type="dxa"/>
            <w:shd w:val="clear" w:color="auto" w:fill="0072C6"/>
          </w:tcPr>
          <w:p w14:paraId="042AABD6" w14:textId="77777777" w:rsidR="00CC3273" w:rsidRPr="006D4DC5" w:rsidRDefault="00CC3273" w:rsidP="00F01ED6">
            <w:pPr>
              <w:pStyle w:val="ProductList-OfferingBody"/>
            </w:pPr>
            <w:r>
              <w:rPr>
                <w:color w:val="FFFFFF" w:themeColor="background1"/>
              </w:rPr>
              <w:t>Eliminações</w:t>
            </w:r>
          </w:p>
        </w:tc>
      </w:tr>
      <w:tr w:rsidR="00EC4160" w:rsidRPr="003650D0" w14:paraId="077C87EF" w14:textId="77777777" w:rsidTr="00315F59">
        <w:trPr>
          <w:tblHeader/>
        </w:trPr>
        <w:tc>
          <w:tcPr>
            <w:tcW w:w="5215" w:type="dxa"/>
          </w:tcPr>
          <w:p w14:paraId="25171BEF" w14:textId="3E096E26" w:rsidR="00EC4160" w:rsidRDefault="00EC4160" w:rsidP="00EC4160">
            <w:pPr>
              <w:pStyle w:val="ProductList-OfferingBody"/>
              <w:rPr>
                <w:rFonts w:ascii="Calibri" w:hAnsi="Calibri" w:cs="Calibri"/>
                <w:color w:val="000000" w:themeColor="text1"/>
              </w:rPr>
            </w:pPr>
            <w:r>
              <w:rPr>
                <w:rFonts w:ascii="Calibri" w:hAnsi="Calibri" w:cs="Calibri"/>
                <w:color w:val="000000" w:themeColor="text1"/>
                <w:szCs w:val="16"/>
              </w:rPr>
              <w:t>Clusters Automáticos do Serviço Azure Kubernetes (AKS)</w:t>
            </w:r>
          </w:p>
        </w:tc>
        <w:tc>
          <w:tcPr>
            <w:tcW w:w="5575" w:type="dxa"/>
          </w:tcPr>
          <w:p w14:paraId="02977552" w14:textId="7B22AB18" w:rsidR="00EC4160" w:rsidRPr="00771E0B" w:rsidRDefault="00EC4160" w:rsidP="00EC4160">
            <w:pPr>
              <w:pStyle w:val="ProductList-OfferingBody"/>
            </w:pPr>
          </w:p>
        </w:tc>
      </w:tr>
      <w:tr w:rsidR="00EC4160" w:rsidRPr="003650D0" w14:paraId="7B2A8AA6" w14:textId="77777777" w:rsidTr="00315F59">
        <w:trPr>
          <w:tblHeader/>
        </w:trPr>
        <w:tc>
          <w:tcPr>
            <w:tcW w:w="5215" w:type="dxa"/>
          </w:tcPr>
          <w:p w14:paraId="18A41E7B" w14:textId="0AD38445" w:rsidR="00EC4160" w:rsidRDefault="00EC4160" w:rsidP="00EC4160">
            <w:pPr>
              <w:pStyle w:val="ProductList-OfferingBody"/>
              <w:rPr>
                <w:rFonts w:ascii="Calibri" w:hAnsi="Calibri" w:cs="Calibri"/>
                <w:color w:val="000000" w:themeColor="text1"/>
              </w:rPr>
            </w:pPr>
            <w:r>
              <w:rPr>
                <w:rFonts w:ascii="Calibri" w:hAnsi="Calibri" w:cs="Calibri"/>
                <w:color w:val="000000" w:themeColor="text1"/>
                <w:szCs w:val="16"/>
              </w:rPr>
              <w:t>Microsoft Fabric</w:t>
            </w:r>
          </w:p>
        </w:tc>
        <w:tc>
          <w:tcPr>
            <w:tcW w:w="5575" w:type="dxa"/>
          </w:tcPr>
          <w:p w14:paraId="6B3213B2" w14:textId="77777777" w:rsidR="00EC4160" w:rsidRPr="00771E0B" w:rsidRDefault="00EC4160" w:rsidP="00EC4160">
            <w:pPr>
              <w:pStyle w:val="ProductList-OfferingBody"/>
            </w:pPr>
          </w:p>
        </w:tc>
      </w:tr>
    </w:tbl>
    <w:p w14:paraId="473EB6D2" w14:textId="5E1B500E" w:rsidR="00654656" w:rsidRPr="00EF7CF9" w:rsidRDefault="0097122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348C666F" w14:textId="56DC3877" w:rsidR="008E6785" w:rsidRPr="00B44CF9" w:rsidRDefault="008E6785" w:rsidP="00F01ED6">
      <w:pPr>
        <w:spacing w:line="240" w:lineRule="auto"/>
        <w:rPr>
          <w:sz w:val="18"/>
          <w:szCs w:val="18"/>
        </w:rPr>
      </w:pPr>
    </w:p>
    <w:p w14:paraId="596F13CE" w14:textId="77777777" w:rsidR="00654656" w:rsidRPr="00B44CF9" w:rsidRDefault="00654656" w:rsidP="00F01ED6">
      <w:pPr>
        <w:spacing w:line="240" w:lineRule="auto"/>
        <w:rPr>
          <w:sz w:val="18"/>
          <w:szCs w:val="18"/>
        </w:rPr>
        <w:sectPr w:rsidR="00654656" w:rsidRPr="00B44CF9" w:rsidSect="008B1CA1">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F01ED6">
      <w:pPr>
        <w:pStyle w:val="ProductList-SectionHeading"/>
        <w:tabs>
          <w:tab w:val="clear" w:pos="360"/>
          <w:tab w:val="clear" w:pos="720"/>
          <w:tab w:val="clear" w:pos="1080"/>
        </w:tabs>
        <w:outlineLvl w:val="0"/>
      </w:pPr>
      <w:bookmarkStart w:id="19" w:name="_Toc457821504"/>
      <w:bookmarkStart w:id="20" w:name="_Toc214456722"/>
      <w:bookmarkStart w:id="21" w:name="GeneralTerms"/>
      <w:bookmarkStart w:id="22" w:name="TermosGerais"/>
      <w:r>
        <w:lastRenderedPageBreak/>
        <w:t>Termos Gerais</w:t>
      </w:r>
      <w:bookmarkEnd w:id="19"/>
      <w:bookmarkEnd w:id="20"/>
    </w:p>
    <w:p w14:paraId="0BDF752D" w14:textId="6CEE0237" w:rsidR="00045C64" w:rsidRPr="00EF7CF9" w:rsidRDefault="00E11454" w:rsidP="00F01ED6">
      <w:pPr>
        <w:pStyle w:val="ProductList-SubSection1Heading"/>
      </w:pPr>
      <w:bookmarkStart w:id="23" w:name="_Toc454884885"/>
      <w:bookmarkStart w:id="24" w:name="_Toc457812799"/>
      <w:bookmarkStart w:id="25" w:name="_Toc455748582"/>
      <w:bookmarkStart w:id="26" w:name="_Toc457821505"/>
      <w:bookmarkStart w:id="27" w:name="Definições"/>
      <w:bookmarkStart w:id="28" w:name="Definitions"/>
      <w:bookmarkEnd w:id="21"/>
      <w:bookmarkEnd w:id="22"/>
      <w:r>
        <w:t>Definições</w:t>
      </w:r>
      <w:bookmarkEnd w:id="23"/>
      <w:bookmarkEnd w:id="24"/>
      <w:bookmarkEnd w:id="25"/>
      <w:bookmarkEnd w:id="26"/>
      <w:bookmarkEnd w:id="27"/>
    </w:p>
    <w:bookmarkEnd w:id="28"/>
    <w:p w14:paraId="1AED6207" w14:textId="77777777" w:rsidR="002866CF" w:rsidRPr="00A43C44" w:rsidRDefault="002866CF" w:rsidP="002866CF">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Período Aplicável</w:t>
      </w:r>
      <w:r>
        <w:rPr>
          <w:rFonts w:ascii="Calibri" w:hAnsi="Calibri" w:cs="Calibri"/>
        </w:rPr>
        <w:t xml:space="preserve">” para os Serviços Pay As You Go com tráfego limitado (por exemplo, Máquinas Virtuais do Azure) designa os 30 dias anteriores ao primeiro dia do Incidente, inclusive, para o qual é devido um Crédito de Serviço. Para os outros serviços, (por exemplo, M365 E3) “Período Aplicável” designa o mês de calendário em que um Crédito de Serviço é devido. </w:t>
      </w:r>
    </w:p>
    <w:p w14:paraId="1FD67944" w14:textId="77777777" w:rsidR="002866CF" w:rsidRPr="00A43C44" w:rsidRDefault="002866CF" w:rsidP="002866CF">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Honorários dos Serviços Aplicáveis</w:t>
      </w:r>
      <w:r>
        <w:rPr>
          <w:rFonts w:ascii="Calibri" w:hAnsi="Calibri" w:cs="Calibri"/>
        </w:rPr>
        <w:t>”</w:t>
      </w:r>
      <w:r>
        <w:rPr>
          <w:rFonts w:ascii="Calibri" w:hAnsi="Calibri" w:cs="Calibri"/>
          <w:color w:val="000000" w:themeColor="text1"/>
        </w:rPr>
        <w:t xml:space="preserve"> designa o total dos honorários efetivamente pagos pelo Cliente por um Serviço que é aplicado ao Período Aplicável em que um Crédito de Serviço é devido.</w:t>
      </w:r>
    </w:p>
    <w:p w14:paraId="01F6ED90" w14:textId="77777777" w:rsidR="002866CF" w:rsidRPr="00A43C44" w:rsidRDefault="002866CF" w:rsidP="002866CF">
      <w:pPr>
        <w:pStyle w:val="ProductList-Body"/>
        <w:spacing w:after="40"/>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é definido para cada Serviço nos Termos Específicos dos Serviços abaixo. O Período de Indisponibilidade não inclui o Período de Indisponibilidade Agendado. O Período de Indisponibilidade não inclui a indisponibilidade de um Serviço devido às limitações descritas abaixo e nos Termos Específicos dos Serviços.</w:t>
      </w:r>
    </w:p>
    <w:p w14:paraId="1CAAF07A" w14:textId="7A450D75" w:rsidR="001D1C2C" w:rsidRPr="00EF7CF9" w:rsidRDefault="00380305" w:rsidP="00F01ED6">
      <w:pPr>
        <w:pStyle w:val="ProductList-Body"/>
        <w:spacing w:after="40"/>
      </w:pPr>
      <w:r>
        <w:t>“</w:t>
      </w:r>
      <w:r w:rsidR="00EF7CF9">
        <w:rPr>
          <w:b/>
          <w:color w:val="00188F"/>
        </w:rPr>
        <w:t>Código de Erro</w:t>
      </w:r>
      <w:r>
        <w:t>”</w:t>
      </w:r>
      <w:r w:rsidR="00EF7CF9">
        <w:t xml:space="preserve"> designa uma indicação que uma operação falhou, tal como um código de estado HTTP no intervalo 5xx.</w:t>
      </w:r>
    </w:p>
    <w:p w14:paraId="64D84186" w14:textId="73DB5FCE" w:rsidR="001D1C2C" w:rsidRPr="00EF7CF9" w:rsidRDefault="00380305" w:rsidP="00F01ED6">
      <w:pPr>
        <w:pStyle w:val="ProductList-Body"/>
        <w:spacing w:after="40"/>
        <w:rPr>
          <w:color w:val="000000" w:themeColor="text1"/>
        </w:rPr>
      </w:pPr>
      <w:r>
        <w:t>“</w:t>
      </w:r>
      <w:r w:rsidR="00EF7CF9">
        <w:rPr>
          <w:b/>
          <w:color w:val="00188F"/>
        </w:rPr>
        <w:t>Conectividade Externa</w:t>
      </w:r>
      <w:r>
        <w:t>”</w:t>
      </w:r>
      <w:r w:rsidR="00EF7CF9">
        <w:t xml:space="preserve"> é o tráfego de rede bidirecional por protocolos suportados, como HTTP e HTTPS, que podem ser enviados e recebidos de</w:t>
      </w:r>
      <w:r w:rsidR="00D9073A">
        <w:t> </w:t>
      </w:r>
      <w:r w:rsidR="00EF7CF9">
        <w:t>um endereço IP público.</w:t>
      </w:r>
    </w:p>
    <w:p w14:paraId="57569D47" w14:textId="1441EB2D" w:rsidR="001D1C2C" w:rsidRPr="00EF7CF9" w:rsidRDefault="00380305" w:rsidP="00F01ED6">
      <w:pPr>
        <w:pStyle w:val="ProductList-Body"/>
        <w:spacing w:after="40"/>
        <w:rPr>
          <w:color w:val="000000" w:themeColor="text1"/>
        </w:rPr>
      </w:pPr>
      <w:r>
        <w:t>“</w:t>
      </w:r>
      <w:r w:rsidR="00EF7CF9">
        <w:rPr>
          <w:b/>
          <w:color w:val="00188F"/>
        </w:rPr>
        <w:t>Incidente</w:t>
      </w:r>
      <w:r>
        <w:t>”</w:t>
      </w:r>
      <w:r w:rsidR="00EF7CF9">
        <w:rPr>
          <w:color w:val="000000" w:themeColor="text1"/>
        </w:rPr>
        <w:t xml:space="preserve"> designa (i) qualquer evento único ou (ii) qualquer conjunto de eventos que resultem num Período de Indisponibilidade.</w:t>
      </w:r>
    </w:p>
    <w:p w14:paraId="30DC8057" w14:textId="69930B5A" w:rsidR="001D1C2C" w:rsidRPr="00EF7CF9" w:rsidRDefault="00380305" w:rsidP="00F01ED6">
      <w:pPr>
        <w:pStyle w:val="ProductList-Body"/>
        <w:spacing w:after="40"/>
      </w:pPr>
      <w:r>
        <w:t>“</w:t>
      </w:r>
      <w:r w:rsidR="00EF7CF9">
        <w:rPr>
          <w:b/>
          <w:color w:val="00188F"/>
        </w:rPr>
        <w:t>Portal de Gestão</w:t>
      </w:r>
      <w:r>
        <w:t>”</w:t>
      </w:r>
      <w:r w:rsidR="00EF7CF9">
        <w:t xml:space="preserve"> designa a interface Web, fornecida pela Microsoft, através da qual os clientes podem gerir o Serviço.</w:t>
      </w:r>
    </w:p>
    <w:p w14:paraId="16345164" w14:textId="20FDAD92" w:rsidR="001D1C2C" w:rsidRPr="001D4B6B" w:rsidRDefault="00380305" w:rsidP="00F01ED6">
      <w:pPr>
        <w:pStyle w:val="ProductList-Body"/>
        <w:spacing w:after="40"/>
        <w:rPr>
          <w:color w:val="000000" w:themeColor="text1"/>
        </w:rPr>
      </w:pPr>
      <w:r>
        <w:t>“</w:t>
      </w:r>
      <w:r w:rsidR="00EF7CF9" w:rsidRPr="001D4B6B">
        <w:rPr>
          <w:b/>
          <w:color w:val="00188F"/>
        </w:rPr>
        <w:t>Período de Indisponibilidade Agendado</w:t>
      </w:r>
      <w:r>
        <w:t>”</w:t>
      </w:r>
      <w:r w:rsidR="00EF7CF9" w:rsidRPr="001D4B6B">
        <w:rPr>
          <w:color w:val="000000" w:themeColor="text1"/>
        </w:rPr>
        <w:t xml:space="preserve"> designa os Períodos de Indisponibilidade relacionados com a manutenção ou as atualizações da rede, do</w:t>
      </w:r>
      <w:r w:rsidR="00A345F5">
        <w:rPr>
          <w:color w:val="000000" w:themeColor="text1"/>
        </w:rPr>
        <w:t> </w:t>
      </w:r>
      <w:r w:rsidR="00EF7CF9" w:rsidRPr="001D4B6B">
        <w:rPr>
          <w:color w:val="000000" w:themeColor="text1"/>
        </w:rPr>
        <w:t>hardware ou do Serviço. A Microsoft publicará uma notificação ou notificará o Cliente pelo menos cinco (5) dias antes do início desse Período de</w:t>
      </w:r>
      <w:r w:rsidR="00A345F5">
        <w:rPr>
          <w:color w:val="000000" w:themeColor="text1"/>
        </w:rPr>
        <w:t> </w:t>
      </w:r>
      <w:r w:rsidR="00EF7CF9" w:rsidRPr="001D4B6B">
        <w:rPr>
          <w:color w:val="000000" w:themeColor="text1"/>
        </w:rPr>
        <w:t>Indisponibilidade.</w:t>
      </w:r>
    </w:p>
    <w:p w14:paraId="70231D40" w14:textId="73E5AE46" w:rsidR="001D1C2C" w:rsidRPr="00EF7CF9" w:rsidRDefault="00380305" w:rsidP="00F01ED6">
      <w:pPr>
        <w:pStyle w:val="ProductList-Body"/>
        <w:spacing w:after="40"/>
        <w:rPr>
          <w:color w:val="000000" w:themeColor="text1"/>
        </w:rPr>
      </w:pPr>
      <w:r>
        <w:t>“</w:t>
      </w:r>
      <w:r w:rsidR="00EF7CF9">
        <w:rPr>
          <w:b/>
          <w:color w:val="00188F"/>
        </w:rPr>
        <w:t>Crédito de Serviço</w:t>
      </w:r>
      <w:r>
        <w:t>”</w:t>
      </w:r>
      <w:r w:rsidR="00EF7CF9">
        <w:rPr>
          <w:color w:val="000000" w:themeColor="text1"/>
        </w:rPr>
        <w:t xml:space="preserve"> designa a percentagem dos Honorários dos Serviços Aplicáveis creditados ao Cliente na sequência da aprovação da reclamação da Microsoft.</w:t>
      </w:r>
    </w:p>
    <w:p w14:paraId="0E261BBC" w14:textId="3894D837" w:rsidR="001D1C2C" w:rsidRPr="00EF7CF9" w:rsidRDefault="00380305" w:rsidP="00F01ED6">
      <w:pPr>
        <w:pStyle w:val="ProductList-Body"/>
        <w:spacing w:after="40"/>
        <w:rPr>
          <w:color w:val="000000" w:themeColor="text1"/>
        </w:rPr>
      </w:pPr>
      <w:r>
        <w:t>“</w:t>
      </w:r>
      <w:r w:rsidR="00EF7CF9">
        <w:rPr>
          <w:b/>
          <w:color w:val="00188F"/>
        </w:rPr>
        <w:t>Nível de Serviço</w:t>
      </w:r>
      <w:r>
        <w:t>”</w:t>
      </w:r>
      <w:r w:rsidR="00EF7CF9">
        <w:rPr>
          <w:color w:val="000000" w:themeColor="text1"/>
        </w:rPr>
        <w:t xml:space="preserve"> designa as métricas de desempenho estabelecidas neste SLA que a Microsoft aceita cumprir na prestação dos Serviços.</w:t>
      </w:r>
    </w:p>
    <w:p w14:paraId="6702BBF5" w14:textId="2FE43712" w:rsidR="001D1C2C" w:rsidRPr="00EF7CF9" w:rsidRDefault="00380305" w:rsidP="00F01ED6">
      <w:pPr>
        <w:pStyle w:val="ProductList-Body"/>
        <w:spacing w:after="40"/>
      </w:pPr>
      <w:r>
        <w:t>“</w:t>
      </w:r>
      <w:r w:rsidR="00EF7CF9">
        <w:rPr>
          <w:b/>
          <w:color w:val="00188F"/>
        </w:rPr>
        <w:t>Recurso de Serviço</w:t>
      </w:r>
      <w:r>
        <w:t>”</w:t>
      </w:r>
      <w:r w:rsidR="00EF7CF9">
        <w:t xml:space="preserve"> designa um recurso individual disponível para utilização num Serviço.</w:t>
      </w:r>
    </w:p>
    <w:p w14:paraId="6EF19CD6" w14:textId="469CFBF1" w:rsidR="001D1C2C" w:rsidRPr="00EF7CF9" w:rsidRDefault="00380305" w:rsidP="00F01ED6">
      <w:pPr>
        <w:pStyle w:val="ProductList-Body"/>
        <w:spacing w:after="40"/>
      </w:pPr>
      <w:r>
        <w:t>“</w:t>
      </w:r>
      <w:r w:rsidR="00EF7CF9">
        <w:rPr>
          <w:b/>
          <w:color w:val="00188F"/>
        </w:rPr>
        <w:t>Código de Êxito</w:t>
      </w:r>
      <w:r>
        <w:t>”</w:t>
      </w:r>
      <w:r w:rsidR="00EF7CF9">
        <w:t xml:space="preserve"> indica que uma operação foi concluída com êxito, tal como um código de estado HTTP no intervalo 2xx.</w:t>
      </w:r>
    </w:p>
    <w:p w14:paraId="461AC117" w14:textId="6001B30E" w:rsidR="001D1C2C" w:rsidRPr="00EF7CF9" w:rsidRDefault="00380305" w:rsidP="00F01ED6">
      <w:pPr>
        <w:pStyle w:val="ProductList-Body"/>
        <w:spacing w:after="40"/>
        <w:rPr>
          <w:color w:val="000000" w:themeColor="text1"/>
        </w:rPr>
      </w:pPr>
      <w:r>
        <w:t>“</w:t>
      </w:r>
      <w:r w:rsidR="00EF7CF9">
        <w:rPr>
          <w:b/>
          <w:color w:val="00188F"/>
        </w:rPr>
        <w:t>Intervalo de Suporte</w:t>
      </w:r>
      <w:r>
        <w:t>”</w:t>
      </w:r>
      <w:r w:rsidR="00EF7CF9">
        <w:t xml:space="preserve"> designa o período de tempo durante o qual uma funcionalidade de Serviço, ou a compatibilidade com um produto ou serviço separado é suportada.</w:t>
      </w:r>
    </w:p>
    <w:p w14:paraId="0B6E793C" w14:textId="60122DC3" w:rsidR="001D1C2C" w:rsidRPr="00EF7CF9" w:rsidRDefault="00380305" w:rsidP="00F01ED6">
      <w:pPr>
        <w:pStyle w:val="ProductList-Body"/>
        <w:spacing w:after="40"/>
        <w:rPr>
          <w:color w:val="000000" w:themeColor="text1"/>
        </w:rPr>
      </w:pPr>
      <w:r>
        <w:t>“</w:t>
      </w:r>
      <w:r w:rsidR="00EF7CF9">
        <w:rPr>
          <w:b/>
          <w:color w:val="00188F"/>
        </w:rPr>
        <w:t xml:space="preserve">Minutos de </w:t>
      </w:r>
      <w:r w:rsidR="00EF7CF9" w:rsidRPr="009D6328">
        <w:rPr>
          <w:b/>
          <w:color w:val="00188F"/>
        </w:rPr>
        <w:t>Utilizador</w:t>
      </w:r>
      <w:r>
        <w:t>”</w:t>
      </w:r>
      <w:r w:rsidR="00EF7CF9">
        <w:rPr>
          <w:color w:val="000000" w:themeColor="text1"/>
        </w:rPr>
        <w:t xml:space="preserve"> designa o número total de minutos num Período Aplicável, menos todo o Período de Indisponibilidade Agendado, multiplicado pelo número total de utilizadores.</w:t>
      </w:r>
    </w:p>
    <w:p w14:paraId="637752EC" w14:textId="23513F1A" w:rsidR="001D1C2C" w:rsidRPr="00EF7CF9" w:rsidRDefault="001D1C2C" w:rsidP="00F01ED6">
      <w:pPr>
        <w:pStyle w:val="ProductList-SubSection1Heading"/>
      </w:pPr>
      <w:bookmarkStart w:id="29" w:name="_Toc454884886"/>
      <w:bookmarkStart w:id="30" w:name="_Toc457812800"/>
      <w:bookmarkStart w:id="31" w:name="_Toc455748583"/>
      <w:bookmarkStart w:id="32" w:name="_Toc457821506"/>
      <w:bookmarkStart w:id="33" w:name="Terms"/>
      <w:r>
        <w:t>Termos</w:t>
      </w:r>
      <w:bookmarkEnd w:id="29"/>
      <w:bookmarkEnd w:id="30"/>
      <w:bookmarkEnd w:id="31"/>
      <w:bookmarkEnd w:id="32"/>
    </w:p>
    <w:bookmarkEnd w:id="33"/>
    <w:p w14:paraId="7371D222" w14:textId="77777777" w:rsidR="001D1C2C" w:rsidRPr="00EF7CF9" w:rsidRDefault="001D1C2C" w:rsidP="00F01ED6">
      <w:pPr>
        <w:pStyle w:val="ProductList-ClauseHeading"/>
        <w:outlineLvl w:val="2"/>
      </w:pPr>
      <w:r>
        <w:t>Reclamações</w:t>
      </w:r>
    </w:p>
    <w:p w14:paraId="41C9C78B" w14:textId="77777777" w:rsidR="007B44F9" w:rsidRPr="00CC7A65" w:rsidRDefault="007B44F9" w:rsidP="007B44F9">
      <w:pPr>
        <w:pStyle w:val="ProductList-Body"/>
        <w:rPr>
          <w:rFonts w:ascii="Calibri" w:hAnsi="Calibri" w:cs="Calibri"/>
        </w:rPr>
      </w:pPr>
      <w:r>
        <w:rPr>
          <w:rFonts w:ascii="Calibri" w:hAnsi="Calibri" w:cs="Calibri"/>
        </w:rPr>
        <w:t xml:space="preserve">Para que a Microsoft considere uma reclamação, o Cliente tem de submeter a reclamação ao suporte ao cliente da Microsoft Corporation, incluindo todas as informações necessárias para que a Microsoft valide a reclamação, incluindo mas não se limitando a: (i) uma descrição detalhada do Incidente; (ii) informações relativas ao tempo e à duração período de indisponibilidade; (iii) nomes de recursos afetados; (iv) o número e as localizações dos utilizadores afetados; e (v) uma descrição dos erros ocorridos durante o incidente. A não apresentação das informações exigidas implicará a rejeição do pedido. Para obter orientação detalhada sobre a monitorização e o registo do Azure, consulte o artigo Consultas analíticas de registo do Azure Monitor por tabelas ou quaisquer artigos sucessores no Microsoft Learn. Este recurso fornece os dados e as informações essenciais necessários para as reclamações do Azure. </w:t>
      </w:r>
    </w:p>
    <w:p w14:paraId="74F9077E" w14:textId="77777777" w:rsidR="007B44F9" w:rsidRPr="00CC7A65" w:rsidRDefault="007B44F9" w:rsidP="007B44F9">
      <w:pPr>
        <w:pStyle w:val="ProductList-Body"/>
        <w:rPr>
          <w:rFonts w:ascii="Calibri" w:hAnsi="Calibri" w:cs="Calibri"/>
        </w:rPr>
      </w:pPr>
    </w:p>
    <w:p w14:paraId="10A1717A" w14:textId="77777777" w:rsidR="007B44F9" w:rsidRPr="00CC7A65" w:rsidRDefault="007B44F9" w:rsidP="007B44F9">
      <w:pPr>
        <w:pStyle w:val="ProductList-Body"/>
        <w:rPr>
          <w:rFonts w:ascii="Calibri" w:hAnsi="Calibri" w:cs="Calibri"/>
        </w:rPr>
      </w:pPr>
      <w:r>
        <w:rPr>
          <w:rFonts w:ascii="Calibri" w:hAnsi="Calibri" w:cs="Calibri"/>
        </w:rPr>
        <w:t>Para uma reclamação relacionada com o Microsoft Azure, temos de receber a reclamação no prazo de 60 dias após o Incidente. Para as reclamações relacionadas com todos os outros Serviços, a Microsoft deve receber a reclamação até ao fim do Período Aplicável a seguir ao mês em que o Incidente ocorreu. Por exemplo, se o Incidente tiver ocorrido a 15 de fevereiro, a Microsoft deve receber a reclamação e todas as informações necessárias até 31 de março.</w:t>
      </w:r>
    </w:p>
    <w:p w14:paraId="1C8AFCCF" w14:textId="77777777" w:rsidR="007B44F9" w:rsidRPr="00CC7A65" w:rsidRDefault="007B44F9" w:rsidP="007B44F9">
      <w:pPr>
        <w:pStyle w:val="ProductList-Body"/>
        <w:rPr>
          <w:rFonts w:ascii="Calibri" w:hAnsi="Calibri" w:cs="Calibri"/>
        </w:rPr>
      </w:pPr>
    </w:p>
    <w:p w14:paraId="1B11607A" w14:textId="77777777" w:rsidR="007B44F9" w:rsidRPr="00CC7A65" w:rsidRDefault="007B44F9" w:rsidP="007B44F9">
      <w:pPr>
        <w:pStyle w:val="ProductList-Body"/>
        <w:rPr>
          <w:rFonts w:ascii="Calibri" w:hAnsi="Calibri" w:cs="Calibri"/>
        </w:rPr>
      </w:pPr>
      <w:r>
        <w:rPr>
          <w:rFonts w:ascii="Calibri" w:hAnsi="Calibri" w:cs="Calibri"/>
        </w:rPr>
        <w:t>A Microsoft avaliará todas as informações que foram disponibilizadas de forma razoável e tomará a decisão de boa fé sobre se um Crédito de Serviço é devido. Envidaremos os esforços comercialmente razoáveis para processar as reclamações imediatamente após uma investigação, normalmente no prazo de quarenta e cinco (45) dias após a receção da reclamação. O Cliente tem de estar em conformidade com o Contrato para poder ser considerado elegível para receber um Crédito de Serviço. Se a Microsoft determinar que é devido um Crédito de Serviço ao Cliente, a Microsoft aplicará o Crédito de Serviço aos Honorários dos Serviços Aplicáveis do Cliente.</w:t>
      </w:r>
    </w:p>
    <w:p w14:paraId="58E2268D" w14:textId="77777777" w:rsidR="001D1C2C" w:rsidRPr="00EF7CF9" w:rsidRDefault="001D1C2C" w:rsidP="00F01ED6">
      <w:pPr>
        <w:pStyle w:val="ProductList-Body"/>
      </w:pPr>
    </w:p>
    <w:p w14:paraId="76EDD054" w14:textId="1386F9A8" w:rsidR="001D1C2C" w:rsidRPr="001D4B6B" w:rsidRDefault="001D1C2C" w:rsidP="00F01ED6">
      <w:pPr>
        <w:pStyle w:val="ProductList-Body"/>
        <w:rPr>
          <w:spacing w:val="-2"/>
        </w:rPr>
      </w:pPr>
      <w:r w:rsidRPr="001D4B6B">
        <w:rPr>
          <w:spacing w:val="-2"/>
        </w:rPr>
        <w:t xml:space="preserve">Se o Cliente tiver adquirido mais do que um Serviço listado (não como um conjunto de aplicações), poderá submeter reclamações em conformidade com o processo acima descrito, como se cada Serviço fosse abrangido por um SLA individual. Por exemplo, se o Cliente tiver adquirido o Exchange </w:t>
      </w:r>
      <w:r w:rsidRPr="001D4B6B">
        <w:rPr>
          <w:spacing w:val="-2"/>
        </w:rPr>
        <w:lastRenderedPageBreak/>
        <w:t>Online e SharePoint Online (sem fazerem parte de um conjunto) e durante a vigência da subscrição um Incidente tiver causado o Período de Indisponibilidade de ambos os Serviços, nesse caso o Cliente poderá ser elegível para dois Créditos de Serviço separados (um para cada Serviço), ao</w:t>
      </w:r>
      <w:r w:rsidR="00F30FB3">
        <w:rPr>
          <w:spacing w:val="-2"/>
        </w:rPr>
        <w:t> </w:t>
      </w:r>
      <w:r w:rsidRPr="001D4B6B">
        <w:rPr>
          <w:spacing w:val="-2"/>
        </w:rPr>
        <w:t>submeter duas queixas ao abrigo deste SLA. Caso não sejam cumpridos dois ou mais Níveis de Serviço para um determinado Serviço devido ao mesmo Incidente, o Cliente deve escolher apenas um Nível de Serviço ao abrigo do qual uma reclamação pode ser feita com base no Incidente. Salvo</w:t>
      </w:r>
      <w:r w:rsidR="00F30FB3">
        <w:rPr>
          <w:spacing w:val="-2"/>
        </w:rPr>
        <w:t> </w:t>
      </w:r>
      <w:r w:rsidRPr="001D4B6B">
        <w:rPr>
          <w:spacing w:val="-2"/>
        </w:rPr>
        <w:t>disposição expressa em contrário no SLA específico, só é permitido um Crédito de Serviço por Serviço para um Período Aplicável.</w:t>
      </w:r>
    </w:p>
    <w:p w14:paraId="48EACB70" w14:textId="77777777" w:rsidR="001D1C2C" w:rsidRPr="00EF7CF9" w:rsidRDefault="001D1C2C" w:rsidP="00F01ED6">
      <w:pPr>
        <w:pStyle w:val="ProductList-Body"/>
      </w:pPr>
    </w:p>
    <w:p w14:paraId="1C5E0FF1" w14:textId="77777777" w:rsidR="001D1C2C" w:rsidRPr="00EF7CF9" w:rsidRDefault="001D1C2C" w:rsidP="00F01ED6">
      <w:pPr>
        <w:pStyle w:val="ProductList-ClauseHeading"/>
        <w:outlineLvl w:val="2"/>
      </w:pPr>
      <w:r>
        <w:t>Créditos de Serviço</w:t>
      </w:r>
    </w:p>
    <w:p w14:paraId="1FE33722" w14:textId="77777777" w:rsidR="000D2AE0" w:rsidRPr="002A0A04" w:rsidRDefault="000D2AE0" w:rsidP="000D2AE0">
      <w:pPr>
        <w:pStyle w:val="ProductList-Body"/>
        <w:rPr>
          <w:rFonts w:ascii="Calibri" w:hAnsi="Calibri" w:cs="Calibri"/>
        </w:rPr>
      </w:pPr>
      <w:r>
        <w:rPr>
          <w:rFonts w:ascii="Calibri" w:hAnsi="Calibri" w:cs="Calibri"/>
        </w:rPr>
        <w:t>Os Créditos de Serviço são da única e exclusiva responsabilidade do Cliente no que diz respeito a problemas de desempenho ou de disponibilidade de qualquer Serviço ao abrigo do Contrato e deste SLA. O Cliente não pode, de forma unilateral, compensar os respetivos Honorários dos Serviços Aplicáveis por quaisquer problemas de desempenho ou de disponibilidade.</w:t>
      </w:r>
    </w:p>
    <w:p w14:paraId="6AC6CA59" w14:textId="77777777" w:rsidR="000D2AE0" w:rsidRPr="002A0A04" w:rsidRDefault="000D2AE0" w:rsidP="000D2AE0">
      <w:pPr>
        <w:pStyle w:val="ProductList-Body"/>
        <w:rPr>
          <w:rFonts w:ascii="Calibri" w:hAnsi="Calibri" w:cs="Calibri"/>
        </w:rPr>
      </w:pPr>
    </w:p>
    <w:p w14:paraId="674D9E9B" w14:textId="77777777" w:rsidR="000D2AE0" w:rsidRPr="002A0A04" w:rsidRDefault="000D2AE0" w:rsidP="000D2AE0">
      <w:pPr>
        <w:pStyle w:val="ProductList-Body"/>
        <w:rPr>
          <w:rFonts w:ascii="Calibri" w:hAnsi="Calibri" w:cs="Calibri"/>
        </w:rPr>
      </w:pPr>
      <w:r>
        <w:rPr>
          <w:rFonts w:ascii="Calibri" w:hAnsi="Calibri" w:cs="Calibri"/>
        </w:rPr>
        <w:t>Os Créditos de Serviço aplicam-se apenas aos honorários pagos pelo Serviço, Recurso de Serviço ou camada do Serviço em particular para o qual um Nível de Serviço não foi cumprido. Nos casos em que os Níveis de Serviço se aplicam a Recursos de Serviço individuais ou a camadas do Serviço separadas, os Créditos de Serviço aplicam-se apenas a honorários pagos pelo Recurso de Serviço ou camada do Serviço afetada, conforme aplicável, e apenas no que respeita ao período de indisponibilidade efetivo e não à duração total da interrupção. 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Período Aplicável. Os Créditos de Serviço não serão atribuídos para compensar quaisquer outras formas de perda, incluindo, entre outras, a perda de receitas, os custos operacionais ou quaisquer perdas indiretas sofridas pelo Cliente ou pelos utilizadores finais.</w:t>
      </w:r>
    </w:p>
    <w:p w14:paraId="728B590F" w14:textId="77777777" w:rsidR="001D1C2C" w:rsidRPr="00EF7CF9" w:rsidRDefault="001D1C2C" w:rsidP="00F01ED6">
      <w:pPr>
        <w:pStyle w:val="ProductList-Body"/>
      </w:pPr>
    </w:p>
    <w:p w14:paraId="5B365128" w14:textId="77777777" w:rsidR="001D1C2C" w:rsidRPr="00EF7CF9" w:rsidRDefault="001D1C2C" w:rsidP="00F01ED6">
      <w:pPr>
        <w:pStyle w:val="ProductList-ClauseHeading"/>
        <w:outlineLvl w:val="2"/>
      </w:pPr>
      <w:bookmarkStart w:id="34" w:name="Limitations"/>
      <w:r>
        <w:t>Limitações</w:t>
      </w:r>
    </w:p>
    <w:bookmarkEnd w:id="34"/>
    <w:p w14:paraId="4DD4642A" w14:textId="77777777" w:rsidR="001D1C2C" w:rsidRPr="00EF7CF9" w:rsidRDefault="001D1C2C" w:rsidP="00F01ED6">
      <w:pPr>
        <w:pStyle w:val="ProductList-Body"/>
      </w:pPr>
      <w:r>
        <w:t>O presente SLA e quaisquer Níveis de Serviço aplicáveis não se aplicam a quaisquer problemas de desempenho ou de disponibilidade:</w:t>
      </w:r>
    </w:p>
    <w:p w14:paraId="68138A07" w14:textId="337D6413" w:rsidR="001D1C2C" w:rsidRPr="00EF7CF9" w:rsidRDefault="001D1C2C" w:rsidP="00F01ED6">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w:t>
      </w:r>
      <w:r w:rsidR="001E6724">
        <w:t> </w:t>
      </w:r>
      <w:r>
        <w:t>local do Cliente e o centro de dados da Microsoft);</w:t>
      </w:r>
    </w:p>
    <w:p w14:paraId="50A32887" w14:textId="4327C0EA" w:rsidR="001D1C2C" w:rsidRDefault="001D1C2C" w:rsidP="00F01ED6">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5F463160" w14:textId="77777777" w:rsidR="00DD3EFA" w:rsidRDefault="00DD3EFA" w:rsidP="00F01ED6">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2BE67CA0" w:rsidR="001D1C2C" w:rsidRPr="00EF7CF9" w:rsidRDefault="001D1C2C" w:rsidP="00F01ED6">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w:t>
      </w:r>
      <w:r w:rsidR="00F31F6E">
        <w:t> </w:t>
      </w:r>
      <w:r>
        <w:t>Serviço e se o Cliente não tiver modificado a sua utilização consoante aconselhado;</w:t>
      </w:r>
    </w:p>
    <w:p w14:paraId="7A23EEE9" w14:textId="17D0B297" w:rsidR="001D1C2C" w:rsidRPr="00EF7CF9" w:rsidRDefault="001D1C2C" w:rsidP="00F01ED6">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EF7CF9" w:rsidRDefault="001D1C2C" w:rsidP="00F01ED6">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4693A7B0" w14:textId="77777777" w:rsidR="000642C3" w:rsidRPr="002A0A04" w:rsidRDefault="000642C3" w:rsidP="000642C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resultem da falha por parte do Cliente em cumprir quaisquer configurações necessárias, utilizar configurações ou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1D4B6B" w:rsidRDefault="001D1C2C" w:rsidP="00F01ED6">
      <w:pPr>
        <w:pStyle w:val="ProductList-Body"/>
        <w:numPr>
          <w:ilvl w:val="0"/>
          <w:numId w:val="1"/>
        </w:numPr>
        <w:tabs>
          <w:tab w:val="clear" w:pos="360"/>
          <w:tab w:val="clear" w:pos="720"/>
          <w:tab w:val="clear" w:pos="1080"/>
        </w:tabs>
        <w:rPr>
          <w:spacing w:val="-2"/>
        </w:rPr>
      </w:pPr>
      <w:r w:rsidRPr="001D4B6B">
        <w:rPr>
          <w:spacing w:val="-2"/>
        </w:rPr>
        <w:t>Resultantes de introdução de dados, instruções ou argumentos incorretos (por exemplo, pedidos para aceder a ficheiros que não existem);</w:t>
      </w:r>
    </w:p>
    <w:p w14:paraId="5A13F502" w14:textId="77777777" w:rsidR="003E0B06" w:rsidRPr="002A0A04" w:rsidRDefault="003E0B06" w:rsidP="003E0B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Resultantes das tentativas por parte do Cliente para executar operações que excedam as quotas indicadas ou resultantes da limitação por parte da Microsoft de comportamento abusivo suspeito ou contas pirateadas;</w:t>
      </w:r>
    </w:p>
    <w:p w14:paraId="767733A8" w14:textId="1C6B61EB" w:rsidR="001D1C2C" w:rsidRPr="00EF7CF9" w:rsidRDefault="001D1C2C" w:rsidP="00F01ED6">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Default="001D1C2C" w:rsidP="00F01ED6">
      <w:pPr>
        <w:pStyle w:val="ProductList-Body"/>
        <w:numPr>
          <w:ilvl w:val="0"/>
          <w:numId w:val="1"/>
        </w:numPr>
        <w:tabs>
          <w:tab w:val="clear" w:pos="360"/>
          <w:tab w:val="clear" w:pos="720"/>
          <w:tab w:val="clear" w:pos="1080"/>
        </w:tabs>
      </w:pPr>
      <w:r>
        <w:t>Para licenças reservadas, mas não pagas, no momento do Incidente.</w:t>
      </w:r>
    </w:p>
    <w:p w14:paraId="0894E1DA"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As operações iniciadas pelo Cliente, tais como reiniciar, parar, iniciar, ativar pós-falha, computação à escala e armazenamento (que, pela sua natureza, incluem restrições de capacidade) que incorrem em período de indisponibilidade são excluídas do cálculo do período de disponibilidade, exceto se explicitamente definidas no Nível de Serviço aplicável;</w:t>
      </w:r>
    </w:p>
    <w:p w14:paraId="52A92184"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janela de manutenção mensal que implica um período de indisponibilidade para aplicar patches ao servidor e à infraestrutura está excluída do cálculo do período de disponibilidade.</w:t>
      </w:r>
    </w:p>
    <w:p w14:paraId="3D779D12"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resultam da degradação do desempenho ou de problemas de latência sem indisponibilidade efetiva do serviço (exceto no caso dos serviços que incluem explicitamente um Nível de Serviço baseado no desempenho).</w:t>
      </w:r>
    </w:p>
    <w:p w14:paraId="30D18665" w14:textId="77777777" w:rsidR="003C1FF6" w:rsidRPr="002A0A04" w:rsidRDefault="003C1FF6" w:rsidP="003C1FF6">
      <w:pPr>
        <w:spacing w:after="0"/>
        <w:rPr>
          <w:rFonts w:ascii="Calibri" w:hAnsi="Calibri" w:cs="Calibri"/>
          <w:sz w:val="18"/>
        </w:rPr>
      </w:pPr>
    </w:p>
    <w:p w14:paraId="4B72C513" w14:textId="505B9FAC" w:rsidR="001D1C2C" w:rsidRPr="003C1FF6" w:rsidRDefault="003C1FF6" w:rsidP="003C1FF6">
      <w:pPr>
        <w:keepNext/>
        <w:rPr>
          <w:rFonts w:ascii="Calibri" w:hAnsi="Calibri" w:cs="Calibri"/>
          <w:sz w:val="18"/>
        </w:rPr>
      </w:pPr>
      <w:r>
        <w:rPr>
          <w:rFonts w:ascii="Calibri" w:hAnsi="Calibri" w:cs="Calibri"/>
          <w:sz w:val="18"/>
        </w:rPr>
        <w:t>As comunicações de indisponibilidade da Microsoft destinam-se a ajudar os clientes a tomar medidas preventivas para as suas aplicações críticas para a empresa e não são uma confirmação dos Níveis de Serviço em falta ou da elegibilidade dos Créditos de Serviço.</w:t>
      </w:r>
    </w:p>
    <w:p w14:paraId="61871B44" w14:textId="08E4E02B" w:rsidR="001D1C2C" w:rsidRPr="00EF7CF9" w:rsidRDefault="001D1C2C" w:rsidP="00F01ED6">
      <w:pPr>
        <w:pStyle w:val="ProductList-Body"/>
      </w:pPr>
      <w:r>
        <w:t>Os Serviços adquiridos através de contratos de licenciamento em volume Open, Open Value e Open Value Subscription e Serviços num conjunto de</w:t>
      </w:r>
      <w:r w:rsidR="001D4B6B">
        <w:t> </w:t>
      </w:r>
      <w:r>
        <w:t xml:space="preserve">aplicações do Office 365 Pequenas Empresas Premium adquiridos sob a forma de uma chave de produto não são elegíveis para os Créditos </w:t>
      </w:r>
      <w:r>
        <w:lastRenderedPageBreak/>
        <w:t>de</w:t>
      </w:r>
      <w:r w:rsidR="001268E5">
        <w:t> </w:t>
      </w:r>
      <w:r>
        <w:t xml:space="preserve">Serviço com base nos honorários dos serviços. Para estes Serviços, qualquer Crédito de Serviço para o qual o Cliente possa ser elegível será creditado sob a forma de tempo de serviço (ou seja, dias), por oposição aos honorários dos serviços. Quaisquer referências a </w:t>
      </w:r>
      <w:r w:rsidR="00380305">
        <w:t>“</w:t>
      </w:r>
      <w:r>
        <w:t>Honorários dos Serviços Aplicáveis</w:t>
      </w:r>
      <w:r w:rsidR="00380305">
        <w:t>”</w:t>
      </w:r>
      <w:r>
        <w:t xml:space="preserve"> são eliminadas e substituídas por </w:t>
      </w:r>
      <w:r w:rsidR="00380305">
        <w:t>“</w:t>
      </w:r>
      <w:r>
        <w:t>Período Aplicável</w:t>
      </w:r>
      <w:r w:rsidR="00380305">
        <w:t>”</w:t>
      </w:r>
      <w:r>
        <w:t>.</w:t>
      </w:r>
    </w:p>
    <w:p w14:paraId="5B5DA3B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4885D4F" w14:textId="77CE35F8" w:rsidR="00045C64" w:rsidRPr="00EF7CF9" w:rsidRDefault="00045C64" w:rsidP="00F01ED6">
      <w:pPr>
        <w:pStyle w:val="ProductList-SectionHeading"/>
        <w:tabs>
          <w:tab w:val="clear" w:pos="360"/>
          <w:tab w:val="clear" w:pos="720"/>
          <w:tab w:val="clear" w:pos="1080"/>
        </w:tabs>
        <w:outlineLvl w:val="0"/>
      </w:pPr>
      <w:bookmarkStart w:id="35" w:name="_Toc457821507"/>
      <w:bookmarkStart w:id="36" w:name="_Toc214456723"/>
      <w:bookmarkStart w:id="37" w:name="ServiceSpecificTerms"/>
      <w:bookmarkStart w:id="38" w:name="TermosEspecíficosdoServiço"/>
      <w:r>
        <w:t>Termos Específicos do Serviço</w:t>
      </w:r>
      <w:bookmarkEnd w:id="35"/>
      <w:bookmarkEnd w:id="36"/>
    </w:p>
    <w:p w14:paraId="07111700" w14:textId="7469B3B8" w:rsidR="00045C64" w:rsidRPr="00EF7CF9" w:rsidRDefault="00045C64" w:rsidP="00F01ED6">
      <w:pPr>
        <w:pStyle w:val="ProductList-OfferingGroupHeading"/>
        <w:tabs>
          <w:tab w:val="clear" w:pos="360"/>
          <w:tab w:val="clear" w:pos="720"/>
          <w:tab w:val="clear" w:pos="1080"/>
        </w:tabs>
        <w:outlineLvl w:val="1"/>
      </w:pPr>
      <w:bookmarkStart w:id="39" w:name="_Toc457821508"/>
      <w:bookmarkStart w:id="40" w:name="_Toc214456724"/>
      <w:bookmarkEnd w:id="37"/>
      <w:bookmarkEnd w:id="38"/>
      <w:r>
        <w:t>Microsoft Dynamics</w:t>
      </w:r>
      <w:bookmarkEnd w:id="39"/>
      <w:r>
        <w:t xml:space="preserve"> 365</w:t>
      </w:r>
      <w:bookmarkEnd w:id="40"/>
    </w:p>
    <w:p w14:paraId="39192933"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41" w:name="_Toc214456725"/>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em que os utilizadores finais não conseguem iniciar sessão na respetiva instância.</w:t>
      </w:r>
    </w:p>
    <w:p w14:paraId="79A61192" w14:textId="754A2D9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2FCFD88" w14:textId="77777777" w:rsidR="00D50DE8" w:rsidRPr="00EF7CF9" w:rsidRDefault="00D50DE8" w:rsidP="00F01ED6">
      <w:pPr>
        <w:pStyle w:val="ProductList-Body"/>
      </w:pPr>
    </w:p>
    <w:p w14:paraId="6E972F08" w14:textId="21F2A5D3"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38F44403" w14:textId="58D4620A" w:rsidR="00D50DE8"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C7355C">
        <w:t> </w:t>
      </w:r>
      <w:r>
        <w:t>esse Incidente.</w:t>
      </w:r>
    </w:p>
    <w:p w14:paraId="0DE1F58B" w14:textId="77777777" w:rsidR="00D50DE8" w:rsidRPr="00EF7CF9" w:rsidRDefault="00D50DE8" w:rsidP="00F01ED6">
      <w:pPr>
        <w:pStyle w:val="ProductList-Body"/>
      </w:pPr>
    </w:p>
    <w:p w14:paraId="30958FCB"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2B916E"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1439A9">
        <w:tc>
          <w:tcPr>
            <w:tcW w:w="5400" w:type="dxa"/>
          </w:tcPr>
          <w:p w14:paraId="4351DF90" w14:textId="77777777" w:rsidR="00D50DE8" w:rsidRPr="00EF7CF9" w:rsidRDefault="00D50DE8" w:rsidP="00F01ED6">
            <w:pPr>
              <w:pStyle w:val="ProductList-OfferingBody"/>
              <w:jc w:val="center"/>
            </w:pPr>
            <w:r>
              <w:t>&lt; 99,9%</w:t>
            </w:r>
          </w:p>
        </w:tc>
        <w:tc>
          <w:tcPr>
            <w:tcW w:w="5400" w:type="dxa"/>
          </w:tcPr>
          <w:p w14:paraId="36FA6803" w14:textId="77777777" w:rsidR="00D50DE8" w:rsidRPr="00EF7CF9" w:rsidRDefault="00D50DE8" w:rsidP="00F01ED6">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F01ED6">
            <w:pPr>
              <w:pStyle w:val="ProductList-OfferingBody"/>
              <w:jc w:val="center"/>
            </w:pPr>
            <w:r>
              <w:t>&lt; 99%</w:t>
            </w:r>
          </w:p>
        </w:tc>
        <w:tc>
          <w:tcPr>
            <w:tcW w:w="5400" w:type="dxa"/>
          </w:tcPr>
          <w:p w14:paraId="163EB0A1" w14:textId="77777777" w:rsidR="00D50DE8" w:rsidRPr="00EF7CF9" w:rsidRDefault="00D50DE8" w:rsidP="00F01ED6">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F01ED6">
            <w:pPr>
              <w:pStyle w:val="ProductList-OfferingBody"/>
              <w:jc w:val="center"/>
            </w:pPr>
            <w:r>
              <w:t>&lt; 95%</w:t>
            </w:r>
          </w:p>
        </w:tc>
        <w:tc>
          <w:tcPr>
            <w:tcW w:w="5400" w:type="dxa"/>
          </w:tcPr>
          <w:p w14:paraId="3B973236" w14:textId="77777777" w:rsidR="00D50DE8" w:rsidRPr="00EF7CF9" w:rsidRDefault="00D50DE8" w:rsidP="00F01ED6">
            <w:pPr>
              <w:pStyle w:val="ProductList-OfferingBody"/>
              <w:jc w:val="center"/>
            </w:pPr>
            <w:r>
              <w:t>100%</w:t>
            </w:r>
          </w:p>
        </w:tc>
      </w:tr>
    </w:tbl>
    <w:p w14:paraId="49B25FE7" w14:textId="77777777" w:rsidR="006410DA" w:rsidRPr="00EF7CF9" w:rsidRDefault="006410DA" w:rsidP="006410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4442E">
          <w:rPr>
            <w:rStyle w:val="Hyperlink"/>
            <w:sz w:val="16"/>
            <w:szCs w:val="16"/>
          </w:rPr>
          <w:t>Índice</w:t>
        </w:r>
      </w:hyperlink>
      <w:r>
        <w:rPr>
          <w:sz w:val="16"/>
          <w:szCs w:val="16"/>
        </w:rPr>
        <w:t xml:space="preserve"> / </w:t>
      </w:r>
      <w:hyperlink w:anchor="Definitions" w:history="1">
        <w:r w:rsidRPr="00E4442E">
          <w:rPr>
            <w:rStyle w:val="Hyperlink"/>
            <w:sz w:val="16"/>
            <w:szCs w:val="16"/>
          </w:rPr>
          <w:t>Definições</w:t>
        </w:r>
      </w:hyperlink>
    </w:p>
    <w:p w14:paraId="6C9CF5B3" w14:textId="77777777" w:rsidR="00D50DE8" w:rsidRPr="00EF7CF9" w:rsidRDefault="00D50DE8" w:rsidP="00F01ED6">
      <w:pPr>
        <w:pStyle w:val="ProductList-Offering2Heading"/>
        <w:pBdr>
          <w:between w:val="single" w:sz="4" w:space="1" w:color="auto"/>
        </w:pBdr>
        <w:tabs>
          <w:tab w:val="clear" w:pos="360"/>
          <w:tab w:val="clear" w:pos="720"/>
          <w:tab w:val="clear" w:pos="1080"/>
        </w:tabs>
        <w:outlineLvl w:val="2"/>
      </w:pPr>
      <w:bookmarkStart w:id="47" w:name="_Toc214456726"/>
      <w:r>
        <w:t>Dynamics 365 Commerce</w:t>
      </w:r>
      <w:bookmarkEnd w:id="47"/>
    </w:p>
    <w:p w14:paraId="5C8ACDEF"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540B380B" w14:textId="33151FD8"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D71DF41" w14:textId="67C51EE8" w:rsidR="00D50DE8" w:rsidRPr="00EF7CF9" w:rsidRDefault="00380305" w:rsidP="00F01ED6">
      <w:pPr>
        <w:pStyle w:val="ProductList-Body"/>
      </w:pPr>
      <w:r>
        <w:t>“</w:t>
      </w:r>
      <w:r w:rsidR="00D50DE8">
        <w:rPr>
          <w:b/>
          <w:color w:val="00188F"/>
        </w:rPr>
        <w:t>Serviço de Aplicação de Parceiro</w:t>
      </w:r>
      <w:r>
        <w:t>”</w:t>
      </w:r>
      <w:r w:rsidR="00D50DE8">
        <w:t xml:space="preserve"> designa uma aplicação de parceiro que assenta e está combinada com a Plataforma que (A) é utilizada no</w:t>
      </w:r>
      <w:r w:rsidR="006946B0">
        <w:t> </w:t>
      </w:r>
      <w:r w:rsidR="00D50DE8">
        <w:t>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248E919D" w14:textId="74B5D1A4" w:rsidR="00D50DE8" w:rsidRPr="00EF7CF9" w:rsidRDefault="00380305" w:rsidP="00F01ED6">
      <w:pPr>
        <w:pStyle w:val="ProductList-Body"/>
      </w:pPr>
      <w:r>
        <w:t>“</w:t>
      </w:r>
      <w:r w:rsidR="00D50DE8">
        <w:rPr>
          <w:b/>
          <w:color w:val="00188F"/>
        </w:rPr>
        <w:t>Máximo de Minutos Disponíveis</w:t>
      </w:r>
      <w:r>
        <w:t>”</w:t>
      </w:r>
      <w:r w:rsidR="00D50DE8">
        <w:t xml:space="preserve"> designa o total de minutos acumulados durante um Período Aplicável durante os quais um Inquilino Ativo foi</w:t>
      </w:r>
      <w:r w:rsidR="006946B0">
        <w:t> </w:t>
      </w:r>
      <w:r w:rsidR="00D50DE8">
        <w:t>implementado num Serviço de Aplicação de Parceiro utilizando uma topologia de produção de elevada disponibilidade ativa.</w:t>
      </w:r>
    </w:p>
    <w:p w14:paraId="0C74F514" w14:textId="553ED208" w:rsidR="00D50DE8" w:rsidRPr="00EF7CF9" w:rsidRDefault="00380305" w:rsidP="00F01ED6">
      <w:pPr>
        <w:pStyle w:val="ProductList-Body"/>
      </w:pPr>
      <w:r>
        <w:t>“</w:t>
      </w:r>
      <w:r w:rsidR="00D50DE8">
        <w:rPr>
          <w:b/>
          <w:color w:val="00188F"/>
        </w:rPr>
        <w:t>Plataforma</w:t>
      </w:r>
      <w:r>
        <w:t>”</w:t>
      </w:r>
      <w:r w:rsidR="00D50DE8">
        <w:t xml:space="preserve"> designa os formulários de cliente do Serviço, os relatórios do SQL Server, operações em batch e os pontos finais da API ou as APIs de</w:t>
      </w:r>
      <w:r w:rsidR="006946B0">
        <w:t> </w:t>
      </w:r>
      <w:r w:rsidR="00D50DE8">
        <w:t>retalho do Serviço utilizadas apenas para fins comerciais ou de retalho.</w:t>
      </w:r>
    </w:p>
    <w:p w14:paraId="7DEAA6DA" w14:textId="564DC0EA" w:rsidR="00D50DE8" w:rsidRPr="00EF7CF9" w:rsidRDefault="00380305" w:rsidP="00F01ED6">
      <w:pPr>
        <w:pStyle w:val="ProductList-Body"/>
      </w:pPr>
      <w:r>
        <w:t>“</w:t>
      </w:r>
      <w:r w:rsidR="00D50DE8">
        <w:rPr>
          <w:b/>
          <w:color w:val="00188F"/>
        </w:rPr>
        <w:t>Unidade de Escala</w:t>
      </w:r>
      <w:r>
        <w:t>”</w:t>
      </w:r>
      <w:r w:rsidR="00D50DE8">
        <w:t xml:space="preserve"> designa os incrementos pelos quais os recursos informáticos e de armazenamento são adicionais ou removidos de um Serviço de Aplicação de Parceiro.</w:t>
      </w:r>
    </w:p>
    <w:p w14:paraId="2E0FE7F1" w14:textId="409EB012" w:rsidR="00D50DE8" w:rsidRPr="00EF7CF9" w:rsidRDefault="00380305" w:rsidP="00F01ED6">
      <w:pPr>
        <w:pStyle w:val="ProductList-Body"/>
      </w:pPr>
      <w:r>
        <w:t>“</w:t>
      </w:r>
      <w:r w:rsidR="00D50DE8">
        <w:rPr>
          <w:b/>
          <w:color w:val="00188F"/>
        </w:rPr>
        <w:t>Infraestrutura do Serviço</w:t>
      </w:r>
      <w:r>
        <w:t>”</w:t>
      </w:r>
      <w:r w:rsidR="00D50DE8">
        <w:t xml:space="preserve"> designa os recursos de autenticação, informáticos e armazenamento que a Microsoft fornece no âmbito do Serviço.</w:t>
      </w:r>
    </w:p>
    <w:p w14:paraId="3341CE03" w14:textId="77777777" w:rsidR="00D50DE8" w:rsidRPr="00EF7CF9" w:rsidRDefault="00D50DE8" w:rsidP="00F01ED6">
      <w:pPr>
        <w:pStyle w:val="ProductList-Body"/>
      </w:pPr>
    </w:p>
    <w:p w14:paraId="7E890B2C" w14:textId="0018238A"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w:t>
      </w:r>
      <w:r w:rsidR="00AB60B1">
        <w:t> </w:t>
      </w:r>
      <w:r>
        <w:t>sistema e monitorização do estado de funcionamento automáticos. O Período de Indisponibilidade não inclui a Indisponibilidade Agendada, a</w:t>
      </w:r>
      <w:r w:rsidR="00AB60B1">
        <w:t> </w:t>
      </w:r>
      <w:r>
        <w:t>indisponibilidade das funcionalidades dos suplementos do Serviço, a incapacidade de aceder ao Serviço devido a modificações efetuadas ao Serviço pelo Cliente ou os períodos em que é excedida a capacidade da Unidade de Escala.</w:t>
      </w:r>
    </w:p>
    <w:p w14:paraId="6A7E9F20" w14:textId="77777777" w:rsidR="00D50DE8" w:rsidRPr="00EF7CF9" w:rsidRDefault="00D50DE8" w:rsidP="00F01ED6">
      <w:pPr>
        <w:pStyle w:val="ProductList-Body"/>
      </w:pPr>
    </w:p>
    <w:p w14:paraId="16AB907B" w14:textId="0523E1D5"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4ED269D7" w14:textId="77777777" w:rsidR="00D50DE8" w:rsidRPr="00EF7CF9" w:rsidRDefault="00D50DE8" w:rsidP="00F01ED6">
      <w:pPr>
        <w:pStyle w:val="ProductList-Body"/>
      </w:pPr>
    </w:p>
    <w:p w14:paraId="79334EEB" w14:textId="11B12BF5"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0678A34" w14:textId="6C9EED92" w:rsidR="00D50DE8" w:rsidRPr="00EF7CF9" w:rsidRDefault="00AC48A7" w:rsidP="00F01ED6">
      <w:pPr>
        <w:pStyle w:val="ProductList-Body"/>
      </w:pPr>
      <w:r>
        <w:lastRenderedPageBreak/>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F2DB80B" w14:textId="77777777" w:rsidR="00D50DE8" w:rsidRPr="00EF7CF9" w:rsidRDefault="00D50DE8" w:rsidP="00F01ED6">
      <w:pPr>
        <w:pStyle w:val="ProductList-Body"/>
      </w:pPr>
    </w:p>
    <w:p w14:paraId="77FA5EF3"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7CD95"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1439A9">
        <w:tc>
          <w:tcPr>
            <w:tcW w:w="5400" w:type="dxa"/>
          </w:tcPr>
          <w:p w14:paraId="26C3745B" w14:textId="77777777" w:rsidR="00D50DE8" w:rsidRPr="00EF7CF9" w:rsidRDefault="00D50DE8" w:rsidP="00F01ED6">
            <w:pPr>
              <w:pStyle w:val="ProductList-OfferingBody"/>
              <w:jc w:val="center"/>
            </w:pPr>
            <w:r>
              <w:t>&lt; 99,9%</w:t>
            </w:r>
          </w:p>
        </w:tc>
        <w:tc>
          <w:tcPr>
            <w:tcW w:w="5400" w:type="dxa"/>
          </w:tcPr>
          <w:p w14:paraId="33539270" w14:textId="77777777" w:rsidR="00D50DE8" w:rsidRPr="00EF7CF9" w:rsidRDefault="00D50DE8" w:rsidP="00F01ED6">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F01ED6">
            <w:pPr>
              <w:pStyle w:val="ProductList-OfferingBody"/>
              <w:jc w:val="center"/>
            </w:pPr>
            <w:r>
              <w:t>&lt; 99%</w:t>
            </w:r>
          </w:p>
        </w:tc>
        <w:tc>
          <w:tcPr>
            <w:tcW w:w="5400" w:type="dxa"/>
          </w:tcPr>
          <w:p w14:paraId="158C98F6" w14:textId="77777777" w:rsidR="00D50DE8" w:rsidRPr="00EF7CF9" w:rsidRDefault="00D50DE8" w:rsidP="00F01ED6">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F01ED6">
            <w:pPr>
              <w:pStyle w:val="ProductList-OfferingBody"/>
              <w:jc w:val="center"/>
            </w:pPr>
            <w:r>
              <w:t>&lt; 95%</w:t>
            </w:r>
          </w:p>
        </w:tc>
        <w:tc>
          <w:tcPr>
            <w:tcW w:w="5400" w:type="dxa"/>
          </w:tcPr>
          <w:p w14:paraId="3691C0E6" w14:textId="77777777" w:rsidR="00D50DE8" w:rsidRPr="00EF7CF9" w:rsidRDefault="00D50DE8" w:rsidP="00F01ED6">
            <w:pPr>
              <w:pStyle w:val="ProductList-OfferingBody"/>
              <w:jc w:val="center"/>
            </w:pPr>
            <w:r>
              <w:t>100%</w:t>
            </w:r>
          </w:p>
        </w:tc>
      </w:tr>
    </w:tbl>
    <w:p w14:paraId="280CF8D2"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21AB26C" w14:textId="6EFF1606" w:rsidR="00BE2AB2" w:rsidRDefault="00BE2AB2" w:rsidP="00F01ED6">
      <w:pPr>
        <w:pStyle w:val="ProductList-Offering2Heading"/>
        <w:pBdr>
          <w:between w:val="single" w:sz="4" w:space="1" w:color="auto"/>
        </w:pBdr>
        <w:tabs>
          <w:tab w:val="clear" w:pos="360"/>
          <w:tab w:val="clear" w:pos="720"/>
          <w:tab w:val="clear" w:pos="1080"/>
        </w:tabs>
        <w:outlineLvl w:val="2"/>
      </w:pPr>
      <w:bookmarkStart w:id="48" w:name="_Toc214456727"/>
      <w:r>
        <w:t>Dynamics 365 Contact Center</w:t>
      </w:r>
      <w:bookmarkEnd w:id="48"/>
    </w:p>
    <w:p w14:paraId="46059B88" w14:textId="77777777" w:rsidR="00963DD8" w:rsidRPr="008B3B98" w:rsidRDefault="00963DD8" w:rsidP="00963DD8">
      <w:pPr>
        <w:pStyle w:val="ProductList-Body"/>
        <w:rPr>
          <w:rFonts w:ascii="Calibri" w:hAnsi="Calibri" w:cs="Calibri"/>
          <w:color w:val="000000"/>
        </w:rPr>
      </w:pPr>
      <w:r>
        <w:rPr>
          <w:rFonts w:ascii="Calibri" w:hAnsi="Calibri" w:cs="Calibri"/>
          <w:b/>
          <w:bCs/>
          <w:color w:val="00188F"/>
        </w:rPr>
        <w:t>Período de Indisponibilidade</w:t>
      </w:r>
      <w:r>
        <w:rPr>
          <w:rFonts w:ascii="Calibri" w:hAnsi="Calibri" w:cs="Calibri"/>
        </w:rPr>
        <w:t>:</w:t>
      </w:r>
      <w:r>
        <w:rPr>
          <w:rFonts w:ascii="Calibri" w:hAnsi="Calibri" w:cs="Calibri"/>
          <w:color w:val="000000"/>
        </w:rPr>
        <w:t xml:space="preserve"> Qualquer período durante o qual os utilizadores finais não conseguem iniciar ou receber chamadas RTPC ou efetuar comunicações em tempo real (por exemplo, encaminhamento IVR).</w:t>
      </w:r>
    </w:p>
    <w:p w14:paraId="602C9808" w14:textId="77777777" w:rsidR="00963DD8" w:rsidRPr="008B3B98" w:rsidRDefault="00963DD8" w:rsidP="00963DD8">
      <w:pPr>
        <w:pStyle w:val="ProductList-Body"/>
        <w:rPr>
          <w:rFonts w:ascii="Calibri" w:hAnsi="Calibri" w:cs="Calibri"/>
        </w:rPr>
      </w:pPr>
      <w:r>
        <w:rPr>
          <w:rFonts w:ascii="Calibri" w:hAnsi="Calibri" w:cs="Calibri"/>
          <w:b/>
          <w:bCs/>
          <w:color w:val="00188F"/>
        </w:rPr>
        <w:t>Percentagem de Período de Disponibilidade</w:t>
      </w:r>
      <w:r>
        <w:rPr>
          <w:rFonts w:ascii="Calibri" w:hAnsi="Calibri" w:cs="Calibri"/>
        </w:rPr>
        <w:t>: A Percentagem de Período de Disponibilidade é calculada através da seguinte fórmula:</w:t>
      </w:r>
    </w:p>
    <w:p w14:paraId="29D14CC4" w14:textId="77777777" w:rsidR="00963DD8" w:rsidRPr="008F7773" w:rsidRDefault="00963DD8" w:rsidP="00963DD8">
      <w:pPr>
        <w:pStyle w:val="ProductList-Body"/>
      </w:pPr>
    </w:p>
    <w:p w14:paraId="5D7AB738" w14:textId="77777777" w:rsidR="00963DD8" w:rsidRDefault="00000000" w:rsidP="00963DD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47D3CC24" w14:textId="77777777" w:rsidR="00963DD8" w:rsidRPr="008B3B98" w:rsidRDefault="00963DD8" w:rsidP="00963DD8">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 O crédito será pago apenas em relação aos serviços reais que são afetados.</w:t>
      </w:r>
    </w:p>
    <w:p w14:paraId="234B5107" w14:textId="77777777" w:rsidR="00963DD8" w:rsidRPr="008B3B98" w:rsidRDefault="00963DD8" w:rsidP="00963DD8">
      <w:pPr>
        <w:pStyle w:val="ProductList-Body"/>
        <w:rPr>
          <w:rFonts w:ascii="Calibri" w:hAnsi="Calibri" w:cs="Calibri"/>
        </w:rPr>
      </w:pPr>
    </w:p>
    <w:p w14:paraId="1B704C1E" w14:textId="77777777" w:rsidR="00963DD8" w:rsidRPr="008B3B98" w:rsidRDefault="00963DD8" w:rsidP="00963DD8">
      <w:pPr>
        <w:pStyle w:val="ProductList-Body"/>
        <w:rPr>
          <w:rFonts w:ascii="Calibri" w:hAnsi="Calibri" w:cs="Calibri"/>
        </w:rPr>
      </w:pPr>
      <w:r>
        <w:rPr>
          <w:rFonts w:ascii="Calibri" w:hAnsi="Calibri" w:cs="Calibri"/>
        </w:rPr>
        <w:t>Este SLA não inclui o Período de Indisponibilidade Agendado, a indisponibilidade das funcionalidades do suplemento Serviço, a incapacidade de aceder ao Serviço devido a modificações do Serviço pelo Cliente, falhas causada por qualquer falha de software, equipamento ou serviços de terceiros que não sejam controlados pela Microsoft, ou pelo software Microsoft que não esteja a ser executado pela própria Microsoft no âmbito do Serviço.</w:t>
      </w:r>
    </w:p>
    <w:p w14:paraId="3E24D4D2" w14:textId="77777777" w:rsidR="00963DD8" w:rsidRDefault="00963DD8" w:rsidP="00963DD8">
      <w:pPr>
        <w:pStyle w:val="ProductList-Body"/>
      </w:pPr>
    </w:p>
    <w:p w14:paraId="26053F6D" w14:textId="77777777" w:rsidR="00963DD8" w:rsidRPr="003D5054" w:rsidRDefault="00963DD8" w:rsidP="00963DD8">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3DD8" w:rsidRPr="00B44CF9" w14:paraId="6171C4CE" w14:textId="77777777" w:rsidTr="00CE6437">
        <w:trPr>
          <w:tblHeader/>
        </w:trPr>
        <w:tc>
          <w:tcPr>
            <w:tcW w:w="5400" w:type="dxa"/>
            <w:shd w:val="clear" w:color="auto" w:fill="0072C6"/>
          </w:tcPr>
          <w:p w14:paraId="325F08D9" w14:textId="77777777" w:rsidR="00963DD8" w:rsidRPr="003D5054" w:rsidRDefault="00963DD8"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02E334EB" w14:textId="77777777" w:rsidR="00963DD8" w:rsidRPr="003D5054" w:rsidRDefault="00963DD8"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963DD8" w:rsidRPr="00B44CF9" w14:paraId="195B4AF8" w14:textId="77777777" w:rsidTr="00CE6437">
        <w:tc>
          <w:tcPr>
            <w:tcW w:w="5400" w:type="dxa"/>
          </w:tcPr>
          <w:p w14:paraId="6497FDD5" w14:textId="77777777" w:rsidR="00963DD8" w:rsidRPr="003D5054" w:rsidRDefault="00963DD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35F1D3E8" w14:textId="77777777" w:rsidR="00963DD8" w:rsidRPr="003D5054" w:rsidRDefault="00963DD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963DD8" w:rsidRPr="00B44CF9" w14:paraId="10C33D06" w14:textId="77777777" w:rsidTr="00CE6437">
        <w:tc>
          <w:tcPr>
            <w:tcW w:w="5400" w:type="dxa"/>
          </w:tcPr>
          <w:p w14:paraId="5E57BDD8"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671AF8AF"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25%</w:t>
            </w:r>
          </w:p>
        </w:tc>
      </w:tr>
      <w:tr w:rsidR="00963DD8" w:rsidRPr="00B44CF9" w14:paraId="6B538451" w14:textId="77777777" w:rsidTr="00CE6437">
        <w:tc>
          <w:tcPr>
            <w:tcW w:w="5400" w:type="dxa"/>
          </w:tcPr>
          <w:p w14:paraId="2D08D4CA"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46D81968"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50%</w:t>
            </w:r>
          </w:p>
        </w:tc>
      </w:tr>
      <w:tr w:rsidR="00963DD8" w:rsidRPr="00B44CF9" w14:paraId="644C89B5" w14:textId="77777777" w:rsidTr="00CE6437">
        <w:tc>
          <w:tcPr>
            <w:tcW w:w="5400" w:type="dxa"/>
          </w:tcPr>
          <w:p w14:paraId="7E0819F3"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17D8694E"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100%</w:t>
            </w:r>
          </w:p>
        </w:tc>
      </w:tr>
    </w:tbl>
    <w:p w14:paraId="5DD72DC4" w14:textId="77777777" w:rsidR="00963DD8" w:rsidRPr="00EF7CF9" w:rsidRDefault="00963DD8" w:rsidP="00963D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67EA19" w14:textId="1639CA83" w:rsidR="00D50DE8" w:rsidRDefault="00D50DE8" w:rsidP="00F01ED6">
      <w:pPr>
        <w:pStyle w:val="ProductList-Offering2Heading"/>
        <w:pBdr>
          <w:between w:val="single" w:sz="4" w:space="1" w:color="auto"/>
        </w:pBdr>
        <w:tabs>
          <w:tab w:val="clear" w:pos="360"/>
          <w:tab w:val="clear" w:pos="720"/>
          <w:tab w:val="clear" w:pos="1080"/>
        </w:tabs>
        <w:outlineLvl w:val="2"/>
      </w:pPr>
      <w:bookmarkStart w:id="49" w:name="_Toc214456728"/>
      <w:r>
        <w:t>Dynamics 365 Customer Insights</w:t>
      </w:r>
      <w:bookmarkEnd w:id="49"/>
    </w:p>
    <w:p w14:paraId="0B8CB214" w14:textId="77777777" w:rsidR="00D50DE8" w:rsidRDefault="00D50DE8" w:rsidP="00F01ED6">
      <w:pPr>
        <w:pStyle w:val="ProductList-Body"/>
        <w:rPr>
          <w:color w:val="000000"/>
        </w:rPr>
      </w:pPr>
      <w:r>
        <w:rPr>
          <w:b/>
          <w:bCs/>
          <w:color w:val="00188F"/>
        </w:rPr>
        <w:t>Período de Indisponibilidade</w:t>
      </w:r>
      <w:r w:rsidRPr="00473DD3">
        <w:rPr>
          <w:b/>
          <w:bCs/>
          <w:color w:val="00188F"/>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02AC3C64" w14:textId="46F2E2F7" w:rsidR="00D50DE8" w:rsidRDefault="00AC48A7" w:rsidP="00F01ED6">
      <w:pPr>
        <w:pStyle w:val="ProductList-Body"/>
        <w:rPr>
          <w:sz w:val="20"/>
          <w:szCs w:val="20"/>
        </w:rPr>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249570DE" w14:textId="77777777" w:rsidR="00D50DE8" w:rsidRDefault="00D50DE8" w:rsidP="00F01ED6">
      <w:pPr>
        <w:pStyle w:val="ProductList-Body"/>
      </w:pPr>
    </w:p>
    <w:p w14:paraId="1417B265" w14:textId="0B0494E4" w:rsidR="00D50DE8"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A885151" w14:textId="4AA94CCB" w:rsidR="00D50DE8"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4AA46C83" w14:textId="77777777" w:rsidR="00D50DE8" w:rsidRDefault="00D50DE8" w:rsidP="00F01ED6">
      <w:pPr>
        <w:pStyle w:val="ProductList-Body"/>
      </w:pPr>
    </w:p>
    <w:p w14:paraId="20E3C07F"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65D502"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1439A9">
        <w:tc>
          <w:tcPr>
            <w:tcW w:w="5400" w:type="dxa"/>
          </w:tcPr>
          <w:p w14:paraId="2FD01D27" w14:textId="77777777" w:rsidR="00D50DE8" w:rsidRPr="00EF7CF9" w:rsidRDefault="00D50DE8" w:rsidP="00F01ED6">
            <w:pPr>
              <w:pStyle w:val="ProductList-OfferingBody"/>
              <w:jc w:val="center"/>
            </w:pPr>
            <w:r>
              <w:t>&lt; 99,9%</w:t>
            </w:r>
          </w:p>
        </w:tc>
        <w:tc>
          <w:tcPr>
            <w:tcW w:w="5400" w:type="dxa"/>
          </w:tcPr>
          <w:p w14:paraId="5DFB2D85" w14:textId="77777777" w:rsidR="00D50DE8" w:rsidRPr="00EF7CF9" w:rsidRDefault="00D50DE8" w:rsidP="00F01ED6">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F01ED6">
            <w:pPr>
              <w:pStyle w:val="ProductList-OfferingBody"/>
              <w:jc w:val="center"/>
            </w:pPr>
            <w:r>
              <w:t>&lt; 99%</w:t>
            </w:r>
          </w:p>
        </w:tc>
        <w:tc>
          <w:tcPr>
            <w:tcW w:w="5400" w:type="dxa"/>
          </w:tcPr>
          <w:p w14:paraId="5B2C8E24" w14:textId="77777777" w:rsidR="00D50DE8" w:rsidRPr="00EF7CF9" w:rsidRDefault="00D50DE8" w:rsidP="00F01ED6">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F01ED6">
            <w:pPr>
              <w:pStyle w:val="ProductList-OfferingBody"/>
              <w:jc w:val="center"/>
            </w:pPr>
            <w:r>
              <w:t>&lt; 95%</w:t>
            </w:r>
          </w:p>
        </w:tc>
        <w:tc>
          <w:tcPr>
            <w:tcW w:w="5400" w:type="dxa"/>
          </w:tcPr>
          <w:p w14:paraId="2EC04FA4" w14:textId="77777777" w:rsidR="00D50DE8" w:rsidRPr="00EF7CF9" w:rsidRDefault="00D50DE8" w:rsidP="00F01ED6">
            <w:pPr>
              <w:pStyle w:val="ProductList-OfferingBody"/>
              <w:jc w:val="center"/>
            </w:pPr>
            <w:r>
              <w:t>100%</w:t>
            </w:r>
          </w:p>
        </w:tc>
      </w:tr>
    </w:tbl>
    <w:p w14:paraId="1617120E"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A2503BF" w14:textId="2E9FA398" w:rsidR="00EA5FB1" w:rsidRPr="006F3CBD" w:rsidRDefault="00EA5FB1" w:rsidP="00F01ED6">
      <w:pPr>
        <w:pStyle w:val="ProductList-Offering2Heading"/>
        <w:pBdr>
          <w:between w:val="single" w:sz="4" w:space="1" w:color="auto"/>
        </w:pBdr>
        <w:tabs>
          <w:tab w:val="clear" w:pos="360"/>
          <w:tab w:val="clear" w:pos="720"/>
          <w:tab w:val="clear" w:pos="1080"/>
        </w:tabs>
        <w:outlineLvl w:val="2"/>
        <w:rPr>
          <w:lang w:val="en-IN"/>
        </w:rPr>
      </w:pPr>
      <w:bookmarkStart w:id="50" w:name="_Toc214456729"/>
      <w:r w:rsidRPr="006F3CBD">
        <w:rPr>
          <w:lang w:val="en-IN"/>
        </w:rPr>
        <w:t>Dynamics 365 Customer Service Enterprise; Dynamics 365 Customer Service Professional</w:t>
      </w:r>
      <w:bookmarkEnd w:id="42"/>
      <w:r w:rsidRPr="006F3CBD">
        <w:rPr>
          <w:lang w:val="en-IN"/>
        </w:rPr>
        <w:t>; Dynamics 365 Customer Service Insights</w:t>
      </w:r>
      <w:bookmarkEnd w:id="43"/>
      <w:bookmarkEnd w:id="44"/>
      <w:r w:rsidRPr="006F3CBD">
        <w:rPr>
          <w:lang w:val="en-IN"/>
        </w:rPr>
        <w:t>; Dynamics 365 Field Service</w:t>
      </w:r>
      <w:bookmarkStart w:id="51" w:name="_Hlk51044693"/>
      <w:r w:rsidRPr="006F3CBD">
        <w:rPr>
          <w:lang w:val="en-IN"/>
        </w:rPr>
        <w:t xml:space="preserve">; </w:t>
      </w:r>
      <w:bookmarkStart w:id="52" w:name="_Hlk51044489"/>
      <w:r w:rsidRPr="006F3CBD">
        <w:rPr>
          <w:lang w:val="en-IN"/>
        </w:rPr>
        <w:t>Dynamics 365 Marketing</w:t>
      </w:r>
      <w:bookmarkEnd w:id="50"/>
      <w:bookmarkEnd w:id="51"/>
      <w:bookmarkEnd w:id="52"/>
    </w:p>
    <w:p w14:paraId="6CD0EAC6" w14:textId="6A97FABA" w:rsidR="001C41EA" w:rsidRPr="00EF7CF9" w:rsidRDefault="001C41EA"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66099B">
        <w:t> </w:t>
      </w:r>
      <w:r>
        <w:t>Serviços para os quais têm a permissão adequada mas não está incluída a indisponibilidade das funcionalidades dos suplementos do Serviço.</w:t>
      </w:r>
    </w:p>
    <w:p w14:paraId="25CB9B8D" w14:textId="1317DA15" w:rsidR="001C41EA"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FCA426" w14:textId="77777777" w:rsidR="001A6663" w:rsidRPr="00EF7CF9" w:rsidRDefault="001A6663" w:rsidP="00F01ED6">
      <w:pPr>
        <w:pStyle w:val="ProductList-Body"/>
      </w:pPr>
    </w:p>
    <w:p w14:paraId="0F1B402D" w14:textId="3BC29CBD" w:rsidR="001C41EA"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379AA8F" w14:textId="58E2D654" w:rsidR="001C41EA"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0D90E9DF" w14:textId="77777777" w:rsidR="001C41EA" w:rsidRPr="00EF7CF9" w:rsidRDefault="001C41EA" w:rsidP="00F01ED6">
      <w:pPr>
        <w:pStyle w:val="ProductList-Body"/>
      </w:pPr>
    </w:p>
    <w:p w14:paraId="0B68D327" w14:textId="77777777" w:rsidR="001C41EA" w:rsidRPr="00EF7CF9" w:rsidRDefault="001C41EA"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28C62A" w14:textId="77777777" w:rsidR="001C41EA" w:rsidRPr="00EF7CF9" w:rsidRDefault="001C41EA" w:rsidP="00F01ED6">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9A32C6">
        <w:tc>
          <w:tcPr>
            <w:tcW w:w="5400" w:type="dxa"/>
          </w:tcPr>
          <w:p w14:paraId="66F306F1" w14:textId="77777777" w:rsidR="001C41EA" w:rsidRPr="00EF7CF9" w:rsidRDefault="001C41EA" w:rsidP="00F01ED6">
            <w:pPr>
              <w:pStyle w:val="ProductList-OfferingBody"/>
              <w:jc w:val="center"/>
            </w:pPr>
            <w:r>
              <w:t>&lt; 99,9%</w:t>
            </w:r>
          </w:p>
        </w:tc>
        <w:tc>
          <w:tcPr>
            <w:tcW w:w="5400" w:type="dxa"/>
          </w:tcPr>
          <w:p w14:paraId="145E3B0C" w14:textId="77777777" w:rsidR="001C41EA" w:rsidRPr="00EF7CF9" w:rsidRDefault="001C41EA" w:rsidP="00F01ED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F01ED6">
            <w:pPr>
              <w:pStyle w:val="ProductList-OfferingBody"/>
              <w:jc w:val="center"/>
            </w:pPr>
            <w:r>
              <w:t>&lt; 99%</w:t>
            </w:r>
          </w:p>
        </w:tc>
        <w:tc>
          <w:tcPr>
            <w:tcW w:w="5400" w:type="dxa"/>
          </w:tcPr>
          <w:p w14:paraId="03CCA14E" w14:textId="77777777" w:rsidR="001C41EA" w:rsidRPr="00EF7CF9" w:rsidRDefault="001C41EA" w:rsidP="00F01ED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F01ED6">
            <w:pPr>
              <w:pStyle w:val="ProductList-OfferingBody"/>
              <w:jc w:val="center"/>
            </w:pPr>
            <w:r>
              <w:t>&lt; 95%</w:t>
            </w:r>
          </w:p>
        </w:tc>
        <w:tc>
          <w:tcPr>
            <w:tcW w:w="5400" w:type="dxa"/>
          </w:tcPr>
          <w:p w14:paraId="3D5F7C0E" w14:textId="77777777" w:rsidR="001C41EA" w:rsidRPr="00EF7CF9" w:rsidRDefault="001C41EA" w:rsidP="00F01ED6">
            <w:pPr>
              <w:pStyle w:val="ProductList-OfferingBody"/>
              <w:jc w:val="center"/>
            </w:pPr>
            <w:r>
              <w:t>100%</w:t>
            </w:r>
          </w:p>
        </w:tc>
      </w:tr>
    </w:tbl>
    <w:bookmarkStart w:id="53" w:name="_Toc24376584"/>
    <w:bookmarkStart w:id="54" w:name="MicrosoftDynamics365forFianceandOps"/>
    <w:p w14:paraId="1C19B5EF"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B44A48B" w14:textId="723F27C9" w:rsidR="005D2062" w:rsidRDefault="005D2062" w:rsidP="00F01ED6">
      <w:pPr>
        <w:pStyle w:val="ProductList-Offering2Heading"/>
        <w:pBdr>
          <w:between w:val="single" w:sz="4" w:space="1" w:color="auto"/>
        </w:pBdr>
        <w:tabs>
          <w:tab w:val="clear" w:pos="360"/>
          <w:tab w:val="clear" w:pos="720"/>
          <w:tab w:val="clear" w:pos="1080"/>
        </w:tabs>
        <w:outlineLvl w:val="2"/>
      </w:pPr>
      <w:bookmarkStart w:id="55" w:name="_Toc214456730"/>
      <w:bookmarkEnd w:id="53"/>
      <w:r>
        <w:t>Guias do Dynamics 365</w:t>
      </w:r>
      <w:bookmarkEnd w:id="55"/>
    </w:p>
    <w:p w14:paraId="73695421" w14:textId="77777777" w:rsidR="005D2062" w:rsidRDefault="005D2062" w:rsidP="00F01ED6">
      <w:pPr>
        <w:pStyle w:val="ProductList-Body"/>
      </w:pPr>
      <w:r>
        <w:rPr>
          <w:b/>
          <w:color w:val="00188F"/>
        </w:rPr>
        <w:t>Definições Adicionais</w:t>
      </w:r>
      <w:r w:rsidRPr="00473DD3">
        <w:rPr>
          <w:b/>
          <w:color w:val="00188F"/>
        </w:rPr>
        <w:t>:</w:t>
      </w:r>
    </w:p>
    <w:p w14:paraId="6290D355" w14:textId="75B66A9E" w:rsidR="00053629" w:rsidRDefault="00053629" w:rsidP="00F01ED6">
      <w:pPr>
        <w:pStyle w:val="ProductList-Body"/>
      </w:pPr>
      <w:r>
        <w:rPr>
          <w:b/>
          <w:color w:val="00188F"/>
        </w:rPr>
        <w:t>Período de Indisponibilidade</w:t>
      </w:r>
      <w:r w:rsidRPr="00473DD3">
        <w:rPr>
          <w:b/>
          <w:color w:val="00188F"/>
        </w:rPr>
        <w:t>:</w:t>
      </w:r>
      <w:r>
        <w:t xml:space="preserve"> Qualquer período de tempo durante o qual o utilizador final não consegue ler ou escrever quaisquer dados de</w:t>
      </w:r>
      <w:r w:rsidR="00780493">
        <w:t> </w:t>
      </w:r>
      <w:r>
        <w:t>Serviços para os quais tem a permissão adequada. Qualquer período de tempo durante o qual os utilizadores finais não conseguem iniciar ou</w:t>
      </w:r>
      <w:r w:rsidR="00780493">
        <w:t> </w:t>
      </w:r>
      <w:r>
        <w:t>participar em chamadas.</w:t>
      </w:r>
    </w:p>
    <w:p w14:paraId="4E0FB4C9" w14:textId="279EE74A" w:rsidR="0005362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1BB76C9" w14:textId="77777777" w:rsidR="00EF1A8C" w:rsidRPr="00EF7CF9" w:rsidRDefault="00EF1A8C" w:rsidP="00F01ED6">
      <w:pPr>
        <w:pStyle w:val="ProductList-Body"/>
      </w:pPr>
    </w:p>
    <w:p w14:paraId="6FC8E398" w14:textId="609004DA" w:rsidR="00EF1A8C"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4C7B4AE" w14:textId="4F690C0B" w:rsidR="00363902"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372FC373" w14:textId="77777777" w:rsidR="00363902" w:rsidRPr="00122CF3" w:rsidRDefault="00363902" w:rsidP="00F01ED6">
      <w:pPr>
        <w:pStyle w:val="ProductList-Body"/>
      </w:pPr>
    </w:p>
    <w:p w14:paraId="5C6B69ED" w14:textId="77777777" w:rsidR="00363902" w:rsidRDefault="00363902" w:rsidP="00F01ED6">
      <w:pPr>
        <w:pStyle w:val="ProductList-Body"/>
      </w:pPr>
      <w:r>
        <w:t>* O Período de Indisponibilidade não inclui o Período de Indisponibilidade Agendado.</w:t>
      </w:r>
    </w:p>
    <w:p w14:paraId="15EBF827" w14:textId="77777777" w:rsidR="00363902" w:rsidRPr="00363902" w:rsidRDefault="00363902" w:rsidP="00F01ED6">
      <w:pPr>
        <w:pStyle w:val="ProductList-Body"/>
      </w:pPr>
    </w:p>
    <w:p w14:paraId="1FCB8676" w14:textId="77777777" w:rsidR="00363902" w:rsidRPr="00122CF3" w:rsidRDefault="00363902" w:rsidP="00F01ED6">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F01ED6">
            <w:pPr>
              <w:pStyle w:val="ProductList-OfferingBody"/>
              <w:jc w:val="center"/>
              <w:rPr>
                <w:color w:val="FFFFFF" w:themeColor="background1"/>
              </w:rPr>
            </w:pPr>
            <w:r>
              <w:rPr>
                <w:color w:val="FFFFFF" w:themeColor="background1"/>
              </w:rPr>
              <w:t>Percentagem de Período de Disponibilidade</w:t>
            </w:r>
          </w:p>
        </w:tc>
        <w:tc>
          <w:tcPr>
            <w:tcW w:w="5398" w:type="dxa"/>
            <w:shd w:val="clear" w:color="auto" w:fill="0072C6"/>
          </w:tcPr>
          <w:p w14:paraId="2C46FC2D" w14:textId="77777777" w:rsidR="00363902" w:rsidRPr="00363902" w:rsidRDefault="00363902" w:rsidP="00F01ED6">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F01ED6">
            <w:pPr>
              <w:pStyle w:val="ProductList-OfferingBody"/>
              <w:jc w:val="center"/>
            </w:pPr>
            <w:r>
              <w:t>&lt; 99,5%</w:t>
            </w:r>
          </w:p>
        </w:tc>
        <w:tc>
          <w:tcPr>
            <w:tcW w:w="5398" w:type="dxa"/>
          </w:tcPr>
          <w:p w14:paraId="7AD2B5CB" w14:textId="77777777" w:rsidR="00363902" w:rsidRPr="00363902" w:rsidRDefault="00363902" w:rsidP="00F01ED6">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F01ED6">
            <w:pPr>
              <w:pStyle w:val="ProductList-OfferingBody"/>
              <w:jc w:val="center"/>
            </w:pPr>
            <w:r>
              <w:t>&lt; 99%</w:t>
            </w:r>
          </w:p>
        </w:tc>
        <w:tc>
          <w:tcPr>
            <w:tcW w:w="5398" w:type="dxa"/>
          </w:tcPr>
          <w:p w14:paraId="3200CDDD" w14:textId="77777777" w:rsidR="00363902" w:rsidRPr="00363902" w:rsidRDefault="00363902" w:rsidP="00F01ED6">
            <w:pPr>
              <w:pStyle w:val="ProductList-OfferingBody"/>
              <w:jc w:val="center"/>
            </w:pPr>
            <w:r>
              <w:t>50%</w:t>
            </w:r>
          </w:p>
        </w:tc>
      </w:tr>
    </w:tbl>
    <w:p w14:paraId="79616C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D4CDC2"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56" w:name="_Toc214456731"/>
      <w:r>
        <w:t>Dynamics 365 Human Resources</w:t>
      </w:r>
      <w:bookmarkEnd w:id="56"/>
    </w:p>
    <w:p w14:paraId="37E650DD"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19B90069" w14:textId="3AC193DC"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tem uma base de</w:t>
      </w:r>
      <w:r w:rsidR="00E6633A">
        <w:t> </w:t>
      </w:r>
      <w:r w:rsidR="00D50DE8">
        <w:t>dados ativa onde os utilizadores podem iniciar sessão.</w:t>
      </w:r>
    </w:p>
    <w:p w14:paraId="74A6F342" w14:textId="7FD9E833"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6633A">
        <w:t> </w:t>
      </w:r>
      <w:r>
        <w:t>Serviços para os quais têm a permissão adequada. O Período de Indisponibilidade não inclui o Período de Indisponibilidade Agendado.</w:t>
      </w:r>
    </w:p>
    <w:p w14:paraId="43CF1F57" w14:textId="5E3DE4EC"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BF229E3" w14:textId="77777777" w:rsidR="00D50DE8" w:rsidRPr="00EF7CF9" w:rsidRDefault="00D50DE8" w:rsidP="00F01ED6">
      <w:pPr>
        <w:pStyle w:val="ProductList-Body"/>
      </w:pPr>
    </w:p>
    <w:p w14:paraId="143DEF24" w14:textId="4D5E7D8D"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70BED5B" w14:textId="3880E929" w:rsidR="00D50DE8" w:rsidRPr="00EF7CF9" w:rsidRDefault="00AC48A7" w:rsidP="00F01ED6">
      <w:pPr>
        <w:pStyle w:val="ProductList-Body"/>
      </w:pPr>
      <w:r>
        <w:lastRenderedPageBreak/>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r w:rsidR="00AE2118">
        <w:t xml:space="preserve"> </w:t>
      </w:r>
    </w:p>
    <w:p w14:paraId="0F9D7528" w14:textId="77777777" w:rsidR="00D50DE8" w:rsidRPr="00EF7CF9" w:rsidRDefault="00D50DE8" w:rsidP="00F01ED6">
      <w:pPr>
        <w:pStyle w:val="ProductList-Body"/>
      </w:pPr>
    </w:p>
    <w:p w14:paraId="26A442BE" w14:textId="77777777" w:rsidR="00D50DE8" w:rsidRPr="00EF7CF9" w:rsidRDefault="00D50DE8" w:rsidP="003B4E10">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4A9F07B"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46EA17A8" w14:textId="77777777" w:rsidTr="001439A9">
        <w:tc>
          <w:tcPr>
            <w:tcW w:w="5400" w:type="dxa"/>
          </w:tcPr>
          <w:p w14:paraId="3E186CF8" w14:textId="77777777" w:rsidR="00D50DE8" w:rsidRPr="00EF7CF9" w:rsidRDefault="00D50DE8" w:rsidP="00F01ED6">
            <w:pPr>
              <w:pStyle w:val="ProductList-OfferingBody"/>
              <w:jc w:val="center"/>
            </w:pPr>
            <w:r>
              <w:t>&lt; 99,5%</w:t>
            </w:r>
          </w:p>
        </w:tc>
        <w:tc>
          <w:tcPr>
            <w:tcW w:w="5400" w:type="dxa"/>
          </w:tcPr>
          <w:p w14:paraId="4A1947F3" w14:textId="77777777" w:rsidR="00D50DE8" w:rsidRPr="00EF7CF9" w:rsidRDefault="00D50DE8" w:rsidP="00F01ED6">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F01ED6">
            <w:pPr>
              <w:pStyle w:val="ProductList-OfferingBody"/>
              <w:jc w:val="center"/>
            </w:pPr>
            <w:r>
              <w:t>&lt; 99%</w:t>
            </w:r>
          </w:p>
        </w:tc>
        <w:tc>
          <w:tcPr>
            <w:tcW w:w="5400" w:type="dxa"/>
          </w:tcPr>
          <w:p w14:paraId="4980B8F7" w14:textId="77777777" w:rsidR="00D50DE8" w:rsidRPr="00EF7CF9" w:rsidRDefault="00D50DE8" w:rsidP="00F01ED6">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F01ED6">
            <w:pPr>
              <w:pStyle w:val="ProductList-OfferingBody"/>
              <w:jc w:val="center"/>
            </w:pPr>
            <w:r>
              <w:t>&lt; 95%</w:t>
            </w:r>
          </w:p>
        </w:tc>
        <w:tc>
          <w:tcPr>
            <w:tcW w:w="5400" w:type="dxa"/>
          </w:tcPr>
          <w:p w14:paraId="0913C71E" w14:textId="77777777" w:rsidR="00D50DE8" w:rsidRPr="00EF7CF9" w:rsidRDefault="00D50DE8" w:rsidP="00F01ED6">
            <w:pPr>
              <w:pStyle w:val="ProductList-OfferingBody"/>
              <w:jc w:val="center"/>
            </w:pPr>
            <w:r>
              <w:t>100%</w:t>
            </w:r>
          </w:p>
        </w:tc>
      </w:tr>
    </w:tbl>
    <w:bookmarkStart w:id="57" w:name="_Toc75271387"/>
    <w:bookmarkStart w:id="58" w:name="_Toc45621200"/>
    <w:p w14:paraId="29E7F4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66D59E2" w14:textId="77777777" w:rsidR="007D56EB" w:rsidRDefault="007D56EB" w:rsidP="00F01ED6">
      <w:pPr>
        <w:pStyle w:val="ProductList-Offering2Heading"/>
        <w:pBdr>
          <w:between w:val="single" w:sz="4" w:space="1" w:color="auto"/>
        </w:pBdr>
        <w:tabs>
          <w:tab w:val="clear" w:pos="360"/>
          <w:tab w:val="clear" w:pos="720"/>
          <w:tab w:val="clear" w:pos="1080"/>
        </w:tabs>
        <w:outlineLvl w:val="2"/>
      </w:pPr>
      <w:bookmarkStart w:id="59" w:name="_Toc214456732"/>
      <w:r>
        <w:t>Dynamics 365 Intelligent Order Management</w:t>
      </w:r>
      <w:bookmarkEnd w:id="57"/>
      <w:bookmarkEnd w:id="59"/>
    </w:p>
    <w:p w14:paraId="3C1E0D2A" w14:textId="721828A3" w:rsidR="007D56EB" w:rsidRDefault="007D56E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 utilizador finais não consegue ler ou escrever quaisquer dados de Serviços para os quais tem a permissão adequada, mas não está incluída qualquer indisponibilidade das funcionalidades dos suplementos do Serviço.</w:t>
      </w:r>
      <w:r w:rsidR="000514F4">
        <w:rPr>
          <w:szCs w:val="18"/>
        </w:rPr>
        <w:t xml:space="preserve"> </w:t>
      </w:r>
      <w:r>
        <w:t>O Período de Indisponibilidade não inclui o Período de Indisponibilidade Agendado.</w:t>
      </w:r>
    </w:p>
    <w:p w14:paraId="609CE0C4" w14:textId="54CFCC4C" w:rsidR="007D56E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D67B4E9" w14:textId="77777777" w:rsidR="007D56EB" w:rsidRDefault="007D56EB" w:rsidP="00F01ED6">
      <w:pPr>
        <w:pStyle w:val="ProductList-Body"/>
      </w:pPr>
    </w:p>
    <w:p w14:paraId="0E945C90" w14:textId="250A7440" w:rsidR="007D56EB"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CAFB4FC" w14:textId="4371F547" w:rsidR="007D56EB"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BBF1BFD" w14:textId="77777777" w:rsidR="007D56EB" w:rsidRDefault="007D56EB" w:rsidP="00F01ED6">
      <w:pPr>
        <w:pStyle w:val="ProductList-Body"/>
      </w:pPr>
    </w:p>
    <w:p w14:paraId="5DA176E0" w14:textId="77777777" w:rsidR="007D56EB" w:rsidRDefault="007D56E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F01ED6">
            <w:pPr>
              <w:pStyle w:val="ProductList-OfferingBody"/>
              <w:jc w:val="center"/>
              <w:rPr>
                <w:color w:val="FFFFFF" w:themeColor="background1"/>
              </w:rPr>
            </w:pPr>
            <w:r>
              <w:rPr>
                <w:color w:val="FFFFFF" w:themeColor="background1"/>
              </w:rPr>
              <w:t>Crédito de Serviço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01ED6">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01ED6">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01ED6">
            <w:pPr>
              <w:pStyle w:val="ProductList-OfferingBody"/>
              <w:jc w:val="center"/>
            </w:pPr>
            <w:r>
              <w:t>100%</w:t>
            </w:r>
          </w:p>
        </w:tc>
      </w:tr>
    </w:tbl>
    <w:p w14:paraId="0108C996"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227EBA" w14:textId="77777777" w:rsidR="001439A9" w:rsidRDefault="001439A9" w:rsidP="00F01ED6">
      <w:pPr>
        <w:pStyle w:val="ProductList-Offering2Heading"/>
        <w:keepNext/>
        <w:pBdr>
          <w:between w:val="single" w:sz="4" w:space="1" w:color="auto"/>
        </w:pBdr>
        <w:tabs>
          <w:tab w:val="clear" w:pos="360"/>
          <w:tab w:val="clear" w:pos="720"/>
          <w:tab w:val="clear" w:pos="1080"/>
        </w:tabs>
        <w:outlineLvl w:val="2"/>
      </w:pPr>
      <w:bookmarkStart w:id="60" w:name="_Toc214456733"/>
      <w:r>
        <w:t>Dynamics 365 Remote Assist</w:t>
      </w:r>
      <w:bookmarkEnd w:id="58"/>
      <w:bookmarkEnd w:id="60"/>
    </w:p>
    <w:p w14:paraId="24648987" w14:textId="77777777" w:rsidR="001439A9" w:rsidRPr="00EF7CF9" w:rsidRDefault="001439A9" w:rsidP="00F01ED6">
      <w:pPr>
        <w:pStyle w:val="ProductList-Body"/>
        <w:rPr>
          <w:b/>
          <w:color w:val="00188F"/>
        </w:rPr>
      </w:pPr>
      <w:r>
        <w:rPr>
          <w:b/>
          <w:color w:val="00188F"/>
        </w:rPr>
        <w:t>Definições Adicionais</w:t>
      </w:r>
      <w:r w:rsidRPr="00473DD3">
        <w:rPr>
          <w:b/>
          <w:color w:val="00188F"/>
        </w:rPr>
        <w:t>:</w:t>
      </w:r>
    </w:p>
    <w:p w14:paraId="3FFCBF82" w14:textId="77777777" w:rsidR="001439A9" w:rsidRPr="00EF7CF9" w:rsidRDefault="001439A9" w:rsidP="00F01ED6">
      <w:pPr>
        <w:pStyle w:val="ProductList-Body"/>
      </w:pPr>
      <w:r>
        <w:rPr>
          <w:b/>
          <w:color w:val="00188F"/>
        </w:rPr>
        <w:t>Período de Indisponibilidade</w:t>
      </w:r>
      <w:r w:rsidRPr="00473DD3">
        <w:rPr>
          <w:b/>
          <w:color w:val="00188F"/>
        </w:rPr>
        <w:t>:</w:t>
      </w:r>
      <w:r>
        <w:t xml:space="preserve"> Qualquer período durante o qual os utilizadores finais não conseguem realizar conversações de mensagens instantâneas, ou iniciar ou participar em chamadas*.</w:t>
      </w:r>
    </w:p>
    <w:p w14:paraId="5E4BB24B" w14:textId="4A49FE03" w:rsidR="001439A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903DFCF" w14:textId="77777777" w:rsidR="001439A9" w:rsidRPr="00EF7CF9" w:rsidRDefault="001439A9" w:rsidP="00F01ED6">
      <w:pPr>
        <w:pStyle w:val="ProductList-Body"/>
      </w:pPr>
    </w:p>
    <w:p w14:paraId="44ADC5A4" w14:textId="010604CB" w:rsidR="001439A9"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983FC51" w14:textId="6221A125" w:rsidR="001439A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A6DB8F2" w14:textId="6643970B" w:rsidR="001439A9" w:rsidRPr="001A7F2A" w:rsidRDefault="001439A9" w:rsidP="00F01ED6">
      <w:pPr>
        <w:pStyle w:val="ProductList-Body"/>
        <w:rPr>
          <w:i/>
          <w:iCs/>
        </w:rPr>
      </w:pPr>
      <w:r>
        <w:rPr>
          <w:i/>
          <w:iCs/>
        </w:rPr>
        <w:t>*</w:t>
      </w:r>
      <w:r w:rsidR="006F3CBD">
        <w:rPr>
          <w:i/>
          <w:iCs/>
        </w:rPr>
        <w:t xml:space="preserve"> </w:t>
      </w:r>
      <w:r>
        <w:rPr>
          <w:i/>
          <w:iCs/>
        </w:rPr>
        <w:t>Conversações de mensagens instantâneas disponíveis apenas em algumas plataformas</w:t>
      </w:r>
    </w:p>
    <w:p w14:paraId="0E5D0604" w14:textId="77777777" w:rsidR="001439A9" w:rsidRPr="00EF7CF9" w:rsidRDefault="001439A9" w:rsidP="00F01ED6">
      <w:pPr>
        <w:pStyle w:val="ProductList-Body"/>
      </w:pPr>
    </w:p>
    <w:p w14:paraId="21BC82B9" w14:textId="77777777" w:rsidR="001439A9" w:rsidRPr="00EF7CF9" w:rsidRDefault="001439A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BFCC5F" w14:textId="77777777" w:rsidR="001439A9" w:rsidRPr="00EF7CF9" w:rsidRDefault="001439A9" w:rsidP="00F01ED6">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1439A9">
        <w:tc>
          <w:tcPr>
            <w:tcW w:w="5400" w:type="dxa"/>
          </w:tcPr>
          <w:p w14:paraId="56C1EB61" w14:textId="77777777" w:rsidR="001439A9" w:rsidRPr="00EF7CF9" w:rsidRDefault="001439A9" w:rsidP="00F01ED6">
            <w:pPr>
              <w:pStyle w:val="ProductList-OfferingBody"/>
              <w:jc w:val="center"/>
            </w:pPr>
            <w:r>
              <w:t>&lt; 99,9%</w:t>
            </w:r>
          </w:p>
        </w:tc>
        <w:tc>
          <w:tcPr>
            <w:tcW w:w="5400" w:type="dxa"/>
          </w:tcPr>
          <w:p w14:paraId="686FB99C" w14:textId="77777777" w:rsidR="001439A9" w:rsidRPr="00EF7CF9" w:rsidRDefault="001439A9" w:rsidP="00F01ED6">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F01ED6">
            <w:pPr>
              <w:pStyle w:val="ProductList-OfferingBody"/>
              <w:jc w:val="center"/>
            </w:pPr>
            <w:r>
              <w:t>&lt; 99%</w:t>
            </w:r>
          </w:p>
        </w:tc>
        <w:tc>
          <w:tcPr>
            <w:tcW w:w="5400" w:type="dxa"/>
          </w:tcPr>
          <w:p w14:paraId="21C83F15" w14:textId="77777777" w:rsidR="001439A9" w:rsidRPr="00EF7CF9" w:rsidRDefault="001439A9" w:rsidP="00F01ED6">
            <w:pPr>
              <w:pStyle w:val="ProductList-OfferingBody"/>
              <w:jc w:val="center"/>
            </w:pPr>
            <w:r>
              <w:t>50%</w:t>
            </w:r>
          </w:p>
        </w:tc>
      </w:tr>
    </w:tbl>
    <w:p w14:paraId="766849D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226BFA7" w14:textId="77777777" w:rsidR="00D50DE8" w:rsidRPr="00EF7CF9" w:rsidRDefault="00D50DE8" w:rsidP="00F01ED6">
      <w:pPr>
        <w:pStyle w:val="ProductList-Offering2Heading"/>
        <w:keepNext/>
        <w:pBdr>
          <w:between w:val="single" w:sz="4" w:space="1" w:color="auto"/>
        </w:pBdr>
        <w:tabs>
          <w:tab w:val="clear" w:pos="360"/>
          <w:tab w:val="clear" w:pos="720"/>
          <w:tab w:val="clear" w:pos="1080"/>
        </w:tabs>
        <w:outlineLvl w:val="2"/>
      </w:pPr>
      <w:bookmarkStart w:id="61" w:name="_Toc214456734"/>
      <w:r>
        <w:lastRenderedPageBreak/>
        <w:t>Dynamics 365 Sales Enterprise; Dynamics 365 Sales Professional</w:t>
      </w:r>
      <w:bookmarkEnd w:id="61"/>
    </w:p>
    <w:p w14:paraId="539367AE" w14:textId="528B09F4"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C07A5">
        <w:t> </w:t>
      </w:r>
      <w:r>
        <w:t>Serviços para os quais têm a permissão adequada mas não está incluída a indisponibilidade das funcionalidades dos suplementos do Serviço.</w:t>
      </w:r>
    </w:p>
    <w:p w14:paraId="58FD4D8F" w14:textId="1D9CA08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2F15F63" w14:textId="4E1D31B8" w:rsidR="00D50DE8" w:rsidRPr="00EF7CF9" w:rsidRDefault="00000000" w:rsidP="00963DD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0E53F77" w14:textId="2CE96DAA" w:rsidR="00D50DE8"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4090D09" w14:textId="77777777" w:rsidR="00657A3A" w:rsidRDefault="00657A3A" w:rsidP="00F01ED6">
      <w:pPr>
        <w:pStyle w:val="ProductList-Body"/>
        <w:rPr>
          <w:b/>
          <w:color w:val="00188F"/>
        </w:rPr>
      </w:pPr>
    </w:p>
    <w:p w14:paraId="55C0A4A7" w14:textId="5C6183C5"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831BE3"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1439A9">
        <w:tc>
          <w:tcPr>
            <w:tcW w:w="5400" w:type="dxa"/>
          </w:tcPr>
          <w:p w14:paraId="046170E8" w14:textId="77777777" w:rsidR="00D50DE8" w:rsidRPr="00EF7CF9" w:rsidRDefault="00D50DE8" w:rsidP="00F01ED6">
            <w:pPr>
              <w:pStyle w:val="ProductList-OfferingBody"/>
              <w:jc w:val="center"/>
            </w:pPr>
            <w:r>
              <w:t>&lt; 99,9%</w:t>
            </w:r>
          </w:p>
        </w:tc>
        <w:tc>
          <w:tcPr>
            <w:tcW w:w="5400" w:type="dxa"/>
          </w:tcPr>
          <w:p w14:paraId="29353878" w14:textId="77777777" w:rsidR="00D50DE8" w:rsidRPr="00EF7CF9" w:rsidRDefault="00D50DE8" w:rsidP="00F01ED6">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F01ED6">
            <w:pPr>
              <w:pStyle w:val="ProductList-OfferingBody"/>
              <w:jc w:val="center"/>
            </w:pPr>
            <w:r>
              <w:t>&lt; 99%</w:t>
            </w:r>
          </w:p>
        </w:tc>
        <w:tc>
          <w:tcPr>
            <w:tcW w:w="5400" w:type="dxa"/>
          </w:tcPr>
          <w:p w14:paraId="67A66F9B" w14:textId="77777777" w:rsidR="00D50DE8" w:rsidRPr="00EF7CF9" w:rsidRDefault="00D50DE8" w:rsidP="00F01ED6">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F01ED6">
            <w:pPr>
              <w:pStyle w:val="ProductList-OfferingBody"/>
              <w:jc w:val="center"/>
            </w:pPr>
            <w:r>
              <w:t>&lt; 95%</w:t>
            </w:r>
          </w:p>
        </w:tc>
        <w:tc>
          <w:tcPr>
            <w:tcW w:w="5400" w:type="dxa"/>
          </w:tcPr>
          <w:p w14:paraId="477556AD" w14:textId="77777777" w:rsidR="00D50DE8" w:rsidRPr="00EF7CF9" w:rsidRDefault="00D50DE8" w:rsidP="00F01ED6">
            <w:pPr>
              <w:pStyle w:val="ProductList-OfferingBody"/>
              <w:jc w:val="center"/>
            </w:pPr>
            <w:r>
              <w:t>100%</w:t>
            </w:r>
          </w:p>
        </w:tc>
      </w:tr>
    </w:tbl>
    <w:p w14:paraId="3F8390D5"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82B31F" w14:textId="7AE67E3D" w:rsidR="00E044E6" w:rsidRPr="00EF7CF9" w:rsidRDefault="00E044E6" w:rsidP="00F01ED6">
      <w:pPr>
        <w:pStyle w:val="ProductList-Offering2Heading"/>
        <w:pBdr>
          <w:between w:val="single" w:sz="4" w:space="1" w:color="auto"/>
        </w:pBdr>
        <w:tabs>
          <w:tab w:val="clear" w:pos="360"/>
          <w:tab w:val="clear" w:pos="720"/>
          <w:tab w:val="clear" w:pos="1080"/>
        </w:tabs>
        <w:outlineLvl w:val="2"/>
      </w:pPr>
      <w:bookmarkStart w:id="62" w:name="_Toc214456735"/>
      <w:r>
        <w:t xml:space="preserve">Dynamics 365 </w:t>
      </w:r>
      <w:bookmarkStart w:id="63" w:name="_Hlk19533710"/>
      <w:bookmarkEnd w:id="45"/>
      <w:bookmarkEnd w:id="46"/>
      <w:bookmarkEnd w:id="54"/>
      <w:r>
        <w:t>Supply Chain Management; Dynamics 365 Finance</w:t>
      </w:r>
      <w:bookmarkStart w:id="64" w:name="_Hlk51044510"/>
      <w:bookmarkEnd w:id="63"/>
      <w:r>
        <w:t>; Dynamics 365 Project Operations</w:t>
      </w:r>
      <w:bookmarkEnd w:id="62"/>
      <w:bookmarkEnd w:id="64"/>
    </w:p>
    <w:p w14:paraId="0F1E9C48" w14:textId="77777777" w:rsidR="00E044E6" w:rsidRPr="00EF7CF9" w:rsidRDefault="00E044E6" w:rsidP="00F01ED6">
      <w:pPr>
        <w:pStyle w:val="ProductList-Body"/>
      </w:pPr>
      <w:r>
        <w:rPr>
          <w:b/>
          <w:color w:val="00188F"/>
        </w:rPr>
        <w:t>Definições Adicionais</w:t>
      </w:r>
      <w:r w:rsidRPr="00473DD3">
        <w:rPr>
          <w:b/>
          <w:color w:val="00188F"/>
        </w:rPr>
        <w:t>:</w:t>
      </w:r>
    </w:p>
    <w:p w14:paraId="245E3EEA" w14:textId="51637007" w:rsidR="00E044E6" w:rsidRPr="00EF7CF9" w:rsidRDefault="00380305" w:rsidP="00F01ED6">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Inquilino Ativo</w:t>
      </w:r>
      <w:r>
        <w:rPr>
          <w:rFonts w:eastAsia="Segoe UI" w:cs="Segoe UI"/>
          <w:szCs w:val="18"/>
        </w:rPr>
        <w:t>”</w:t>
      </w:r>
      <w:r w:rsidR="00EF7CF9">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EA058CB" w14:textId="7ABF37CA" w:rsidR="00E044E6" w:rsidRPr="00EF7CF9" w:rsidRDefault="00380305" w:rsidP="00F01ED6">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Aplicação de Parceiro</w:t>
      </w:r>
      <w:r>
        <w:rPr>
          <w:rFonts w:cs="Segoe UI"/>
          <w:sz w:val="18"/>
          <w:szCs w:val="18"/>
        </w:rPr>
        <w:t>”</w:t>
      </w:r>
      <w:r w:rsidR="00EF7CF9">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787B5004" w14:textId="324B5C8D" w:rsidR="00E044E6" w:rsidRPr="00EF7CF9" w:rsidRDefault="00380305" w:rsidP="00F01ED6">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designa o total de minutos acumulados durante um Período Aplicável durante os quais um Inquilino Ativo foi implementado num Serviço de Aplicação de Parceiro utilizando uma topologia de produção de elevada disponibilidade ativa.</w:t>
      </w:r>
    </w:p>
    <w:p w14:paraId="2DB9955A" w14:textId="7022B42F" w:rsidR="00E044E6" w:rsidRPr="00EF7CF9" w:rsidRDefault="00380305" w:rsidP="00F01ED6">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designa os formulários de cliente do Serviço, os relatórios do SQL Server, operações em batch e os pontos finais da API ou as APIs de</w:t>
      </w:r>
      <w:r w:rsidR="005742DB">
        <w:rPr>
          <w:rFonts w:cs="Segoe UI"/>
          <w:szCs w:val="18"/>
        </w:rPr>
        <w:t> </w:t>
      </w:r>
      <w:r w:rsidR="00EF7CF9">
        <w:rPr>
          <w:rFonts w:cs="Segoe UI"/>
          <w:szCs w:val="18"/>
        </w:rPr>
        <w:t>retalho do Serviço utilizadas apenas para fins comerciais ou de retalho.</w:t>
      </w:r>
    </w:p>
    <w:p w14:paraId="43A366C0" w14:textId="09CB09B9" w:rsidR="00E044E6" w:rsidRPr="00EF7CF9" w:rsidRDefault="00380305" w:rsidP="00F01ED6">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designa os incrementos pelos quais os recursos informáticos e de armazenamento são adicionais ou removidos de um Serviço de Aplicação de Parceiro.</w:t>
      </w:r>
    </w:p>
    <w:p w14:paraId="6EA9B168" w14:textId="60B39088" w:rsidR="00E044E6" w:rsidRPr="00EF7CF9" w:rsidRDefault="00380305" w:rsidP="00F01ED6">
      <w:pPr>
        <w:pStyle w:val="ProductList-Body"/>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designa os recursos de autenticação, informáticos e de armazenamento que a Microsoft fornece no âmbito do Serviço.</w:t>
      </w:r>
    </w:p>
    <w:p w14:paraId="6CE66BEE" w14:textId="7DD4B86A" w:rsidR="00E044E6" w:rsidRPr="00EF7CF9" w:rsidRDefault="00E044E6"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2466F9A2" w14:textId="6C46BDD3" w:rsidR="00E044E6"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58388555" w14:textId="61E21337" w:rsidR="00E044E6" w:rsidRPr="00EF7CF9" w:rsidRDefault="00000000" w:rsidP="00963DD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DDA59DB" w14:textId="18EEA68A" w:rsidR="009C64EA" w:rsidRPr="00EF7CF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854FA81" w14:textId="28BC6D70" w:rsidR="00E044E6" w:rsidRPr="00EF7CF9" w:rsidRDefault="00E044E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65E0F7" w14:textId="77777777" w:rsidR="00E044E6" w:rsidRPr="00EF7CF9" w:rsidRDefault="00E044E6" w:rsidP="00F01ED6">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5326DD">
        <w:tc>
          <w:tcPr>
            <w:tcW w:w="5400" w:type="dxa"/>
          </w:tcPr>
          <w:p w14:paraId="006F432D" w14:textId="488AB23A" w:rsidR="00E044E6" w:rsidRPr="00EF7CF9" w:rsidRDefault="00E044E6" w:rsidP="00F01ED6">
            <w:pPr>
              <w:pStyle w:val="ProductList-OfferingBody"/>
              <w:jc w:val="center"/>
            </w:pPr>
            <w:r>
              <w:t>&lt; 99,9%</w:t>
            </w:r>
          </w:p>
        </w:tc>
        <w:tc>
          <w:tcPr>
            <w:tcW w:w="5400" w:type="dxa"/>
          </w:tcPr>
          <w:p w14:paraId="4770D45D" w14:textId="77777777" w:rsidR="00E044E6" w:rsidRPr="00EF7CF9" w:rsidRDefault="00E044E6" w:rsidP="00F01ED6">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F01ED6">
            <w:pPr>
              <w:pStyle w:val="ProductList-OfferingBody"/>
              <w:jc w:val="center"/>
            </w:pPr>
            <w:r>
              <w:t>&lt; 99%</w:t>
            </w:r>
          </w:p>
        </w:tc>
        <w:tc>
          <w:tcPr>
            <w:tcW w:w="5400" w:type="dxa"/>
          </w:tcPr>
          <w:p w14:paraId="3FCF0B29" w14:textId="77777777" w:rsidR="00E044E6" w:rsidRPr="00EF7CF9" w:rsidRDefault="00E044E6" w:rsidP="00F01ED6">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F01ED6">
            <w:pPr>
              <w:pStyle w:val="ProductList-OfferingBody"/>
              <w:jc w:val="center"/>
            </w:pPr>
            <w:r>
              <w:t>&lt; 95%</w:t>
            </w:r>
          </w:p>
        </w:tc>
        <w:tc>
          <w:tcPr>
            <w:tcW w:w="5400" w:type="dxa"/>
          </w:tcPr>
          <w:p w14:paraId="3183CDFC" w14:textId="77777777" w:rsidR="00E044E6" w:rsidRPr="00EF7CF9" w:rsidRDefault="00E044E6" w:rsidP="00F01ED6">
            <w:pPr>
              <w:pStyle w:val="ProductList-OfferingBody"/>
              <w:jc w:val="center"/>
            </w:pPr>
            <w:r>
              <w:t>100%</w:t>
            </w:r>
          </w:p>
        </w:tc>
      </w:tr>
    </w:tbl>
    <w:bookmarkStart w:id="65" w:name="_Toc457821511"/>
    <w:p w14:paraId="7AEB209A"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D0F59" w14:textId="50C907E7" w:rsidR="00774CA1" w:rsidRPr="00EF7CF9" w:rsidRDefault="00774CA1" w:rsidP="00454A0B">
      <w:pPr>
        <w:pStyle w:val="ProductList-OfferingGroupHeading"/>
        <w:pageBreakBefore/>
        <w:tabs>
          <w:tab w:val="clear" w:pos="360"/>
          <w:tab w:val="clear" w:pos="720"/>
          <w:tab w:val="clear" w:pos="1080"/>
        </w:tabs>
        <w:outlineLvl w:val="1"/>
      </w:pPr>
      <w:bookmarkStart w:id="66" w:name="_Toc214456736"/>
      <w:r>
        <w:lastRenderedPageBreak/>
        <w:t>Serviços do Office 365</w:t>
      </w:r>
      <w:bookmarkEnd w:id="65"/>
      <w:bookmarkEnd w:id="66"/>
    </w:p>
    <w:p w14:paraId="3BA27431" w14:textId="0D957E31" w:rsidR="00774CA1" w:rsidRPr="00EF7CF9" w:rsidRDefault="0076238C" w:rsidP="00F01ED6">
      <w:pPr>
        <w:pStyle w:val="ProductList-Offering2Heading"/>
        <w:tabs>
          <w:tab w:val="clear" w:pos="360"/>
          <w:tab w:val="clear" w:pos="720"/>
          <w:tab w:val="clear" w:pos="1080"/>
        </w:tabs>
        <w:outlineLvl w:val="2"/>
      </w:pPr>
      <w:bookmarkStart w:id="67" w:name="_Toc457821512"/>
      <w:bookmarkStart w:id="68" w:name="_Toc214456737"/>
      <w:r>
        <w:t>Duet Enterprise Online</w:t>
      </w:r>
      <w:bookmarkEnd w:id="67"/>
      <w:bookmarkEnd w:id="68"/>
    </w:p>
    <w:p w14:paraId="190CEC04" w14:textId="52467775" w:rsidR="00457D2C" w:rsidRPr="00EF7CF9" w:rsidRDefault="00457D2C"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ler ou escrever qualquer parte de uma coleção de sites do SharePoint Online para a qual têm permissões adequadas.</w:t>
      </w:r>
    </w:p>
    <w:p w14:paraId="243E6003" w14:textId="635A9981" w:rsidR="00457D2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004673B" w14:textId="77777777" w:rsidR="001A6663" w:rsidRPr="00EF7CF9" w:rsidRDefault="001A6663" w:rsidP="00F01ED6">
      <w:pPr>
        <w:pStyle w:val="ProductList-Body"/>
      </w:pPr>
    </w:p>
    <w:p w14:paraId="05C84A72" w14:textId="586F9E35" w:rsidR="00457D2C"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FDCA245" w14:textId="4B3EE57B" w:rsidR="00457D2C"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F6A470D" w14:textId="77777777" w:rsidR="00657A3A" w:rsidRDefault="00657A3A" w:rsidP="00F01ED6">
      <w:pPr>
        <w:pStyle w:val="ProductList-Body"/>
        <w:rPr>
          <w:b/>
          <w:color w:val="00188F"/>
        </w:rPr>
      </w:pPr>
    </w:p>
    <w:p w14:paraId="7EBB7C89" w14:textId="19EF6109" w:rsidR="00457D2C" w:rsidRPr="00EF7CF9" w:rsidRDefault="00457D2C"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C6193D" w14:textId="77777777" w:rsidR="00457D2C" w:rsidRPr="00EF7CF9" w:rsidRDefault="00457D2C" w:rsidP="00F01ED6">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C86427">
        <w:tc>
          <w:tcPr>
            <w:tcW w:w="5400" w:type="dxa"/>
          </w:tcPr>
          <w:p w14:paraId="09911816" w14:textId="6F60CB41" w:rsidR="00457D2C" w:rsidRPr="00EF7CF9" w:rsidRDefault="00457D2C" w:rsidP="00F01ED6">
            <w:pPr>
              <w:pStyle w:val="ProductList-OfferingBody"/>
              <w:jc w:val="center"/>
            </w:pPr>
            <w:r>
              <w:t>&lt; 99,9%</w:t>
            </w:r>
          </w:p>
        </w:tc>
        <w:tc>
          <w:tcPr>
            <w:tcW w:w="5400" w:type="dxa"/>
          </w:tcPr>
          <w:p w14:paraId="1E55B479" w14:textId="77777777" w:rsidR="00457D2C" w:rsidRPr="00EF7CF9" w:rsidRDefault="00457D2C" w:rsidP="00F01ED6">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F01ED6">
            <w:pPr>
              <w:pStyle w:val="ProductList-OfferingBody"/>
              <w:jc w:val="center"/>
            </w:pPr>
            <w:r>
              <w:t>&lt; 99%</w:t>
            </w:r>
          </w:p>
        </w:tc>
        <w:tc>
          <w:tcPr>
            <w:tcW w:w="5400" w:type="dxa"/>
          </w:tcPr>
          <w:p w14:paraId="392B08D5" w14:textId="77777777" w:rsidR="00457D2C" w:rsidRPr="00EF7CF9" w:rsidRDefault="00457D2C" w:rsidP="00F01ED6">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F01ED6">
            <w:pPr>
              <w:pStyle w:val="ProductList-OfferingBody"/>
              <w:jc w:val="center"/>
            </w:pPr>
            <w:r>
              <w:t>&lt; 95%</w:t>
            </w:r>
          </w:p>
        </w:tc>
        <w:tc>
          <w:tcPr>
            <w:tcW w:w="5400" w:type="dxa"/>
          </w:tcPr>
          <w:p w14:paraId="7D5D6CC8" w14:textId="77777777" w:rsidR="00457D2C" w:rsidRPr="00EF7CF9" w:rsidRDefault="00457D2C" w:rsidP="00F01ED6">
            <w:pPr>
              <w:pStyle w:val="ProductList-OfferingBody"/>
              <w:jc w:val="center"/>
            </w:pPr>
            <w:r>
              <w:t>100%</w:t>
            </w:r>
          </w:p>
        </w:tc>
      </w:tr>
    </w:tbl>
    <w:p w14:paraId="054A3300" w14:textId="4805DEBA" w:rsidR="00457D2C" w:rsidRPr="00EF7CF9" w:rsidRDefault="00457D2C" w:rsidP="00F01ED6">
      <w:pPr>
        <w:pStyle w:val="ProductList-Body"/>
      </w:pPr>
    </w:p>
    <w:p w14:paraId="08E6E950" w14:textId="5C6CCB84" w:rsidR="00457D2C" w:rsidRPr="00EF7CF9" w:rsidRDefault="00457D2C" w:rsidP="00F01ED6">
      <w:pPr>
        <w:pStyle w:val="ProductList-Body"/>
      </w:pPr>
      <w:r>
        <w:rPr>
          <w:b/>
          <w:color w:val="00188F"/>
        </w:rPr>
        <w:t>Exceções de Nível de Serviço</w:t>
      </w:r>
      <w:r w:rsidRPr="00473DD3">
        <w:rPr>
          <w:b/>
          <w:color w:val="00188F"/>
        </w:rPr>
        <w:t>:</w:t>
      </w:r>
      <w:r>
        <w:t xml:space="preserve"> Este SLA não é aplicável quando a incapacidade de ler ou escrever qualquer parte de um site do SharePoint Online é</w:t>
      </w:r>
      <w:r w:rsidR="008A5485">
        <w:t> </w:t>
      </w:r>
      <w:r>
        <w:t>causada por qualquer falha de software, equipamento ou serviços de terceiros que não sejam controlados pela Microsoft, ou pelo software Microsoft que não esteja a ser executado pela própria Microsoft no âmbito do Serviço.</w:t>
      </w:r>
    </w:p>
    <w:p w14:paraId="3404DCEC" w14:textId="77777777" w:rsidR="00457D2C" w:rsidRPr="00EF7CF9" w:rsidRDefault="00457D2C" w:rsidP="00F01ED6">
      <w:pPr>
        <w:pStyle w:val="ProductList-Body"/>
      </w:pPr>
    </w:p>
    <w:p w14:paraId="0A933C0E" w14:textId="4D0B89D8" w:rsidR="00457D2C" w:rsidRPr="00EF7CF9" w:rsidRDefault="00457D2C" w:rsidP="00F01ED6">
      <w:pPr>
        <w:pStyle w:val="ProductList-Body"/>
      </w:pPr>
      <w:r>
        <w:rPr>
          <w:b/>
          <w:color w:val="00188F"/>
        </w:rPr>
        <w:t>Termos Adicionais</w:t>
      </w:r>
      <w:r w:rsidRPr="00473DD3">
        <w:rPr>
          <w:b/>
          <w:color w:val="00188F"/>
        </w:rPr>
        <w:t>:</w:t>
      </w:r>
      <w:r>
        <w:t xml:space="preserve"> O Cliente será elegível para um Crédito de Serviço para o Duet Enterprise Online apenas quando o Cliente for elegível para um Crédito de Serviço para as SLs de Utilizador do SharePoint Online Plano 2 que tenha adquirido como um pré-requisito para as suas SLs de Utilizador do Duet Enterprise Online.</w:t>
      </w:r>
    </w:p>
    <w:bookmarkStart w:id="69" w:name="_Toc457821513"/>
    <w:p w14:paraId="147464C8"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1EE46691" w14:textId="63634FA2" w:rsidR="00D1684A" w:rsidRPr="00EF7CF9" w:rsidRDefault="00457D2C" w:rsidP="00F01ED6">
      <w:pPr>
        <w:pStyle w:val="ProductList-Offering2Heading"/>
        <w:outlineLvl w:val="2"/>
      </w:pPr>
      <w:bookmarkStart w:id="70" w:name="_Toc214456738"/>
      <w:r>
        <w:t>Exchange Online</w:t>
      </w:r>
      <w:bookmarkEnd w:id="69"/>
      <w:bookmarkEnd w:id="70"/>
    </w:p>
    <w:p w14:paraId="6A1192B8" w14:textId="77777777" w:rsidR="00F32BAA" w:rsidRPr="00F9236E" w:rsidRDefault="00F32BAA" w:rsidP="00F32BAA">
      <w:pPr>
        <w:pStyle w:val="ProductList-Body"/>
        <w:rPr>
          <w:rFonts w:ascii="Calibri" w:hAnsi="Calibri" w:cs="Calibri"/>
        </w:rPr>
      </w:pPr>
      <w:r>
        <w:rPr>
          <w:rFonts w:ascii="Calibri" w:hAnsi="Calibri" w:cs="Calibri"/>
          <w:b/>
          <w:color w:val="00188F"/>
        </w:rPr>
        <w:t>Período de Indisponibilidade</w:t>
      </w:r>
      <w:r w:rsidRPr="00B5590C">
        <w:rPr>
          <w:rFonts w:ascii="Calibri" w:hAnsi="Calibri" w:cs="Calibri"/>
          <w:b/>
          <w:bCs/>
        </w:rPr>
        <w:t>:</w:t>
      </w:r>
      <w:r>
        <w:rPr>
          <w:rFonts w:ascii="Calibri" w:hAnsi="Calibri" w:cs="Calibri"/>
        </w:rPr>
        <w:t xml:space="preserve"> Qualquer período de tempo durante o qual os utilizadores não conseguem enviar ou receber e-mail com o Outlook Web Access. Não existe um Período de Indisponibilidade Agendado para este serviço.</w:t>
      </w:r>
    </w:p>
    <w:p w14:paraId="2A0BEB60" w14:textId="77777777" w:rsidR="00F32BAA" w:rsidRPr="00F9236E" w:rsidRDefault="00F32BAA" w:rsidP="00F32BAA">
      <w:pPr>
        <w:pStyle w:val="ProductList-Body"/>
        <w:rPr>
          <w:rFonts w:ascii="Calibri" w:hAnsi="Calibri" w:cs="Calibri"/>
        </w:rPr>
      </w:pPr>
      <w:r>
        <w:rPr>
          <w:rFonts w:ascii="Calibri" w:hAnsi="Calibri" w:cs="Calibri"/>
          <w:b/>
          <w:color w:val="00188F"/>
        </w:rPr>
        <w:t>Percentagem de Período de Disponibilidade</w:t>
      </w:r>
      <w:r w:rsidRPr="00E4560F">
        <w:rPr>
          <w:rFonts w:ascii="Calibri" w:hAnsi="Calibri" w:cs="Calibri"/>
          <w:b/>
          <w:bCs/>
        </w:rPr>
        <w:t>:</w:t>
      </w:r>
      <w:r>
        <w:rPr>
          <w:rFonts w:ascii="Calibri" w:hAnsi="Calibri" w:cs="Calibri"/>
        </w:rPr>
        <w:t xml:space="preserve"> A Percentagem de Período de Disponibilidade é calculada através da seguinte fórmula:</w:t>
      </w:r>
    </w:p>
    <w:p w14:paraId="26517C05" w14:textId="77777777" w:rsidR="00F32BAA" w:rsidRPr="00EF7CF9" w:rsidRDefault="00F32BAA" w:rsidP="00F32BAA">
      <w:pPr>
        <w:pStyle w:val="ProductList-Body"/>
      </w:pPr>
    </w:p>
    <w:p w14:paraId="1F0FA3DC" w14:textId="77777777" w:rsidR="00F32BAA" w:rsidRPr="00EF7CF9" w:rsidRDefault="00000000" w:rsidP="00F32B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60DF2CF" w14:textId="77777777" w:rsidR="00F32BAA" w:rsidRPr="00F9236E" w:rsidRDefault="00F32BAA" w:rsidP="00F32BAA">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213B916" w14:textId="77777777" w:rsidR="008C5EDB" w:rsidRPr="00EF7CF9" w:rsidRDefault="008C5EDB" w:rsidP="00F01ED6">
      <w:pPr>
        <w:pStyle w:val="ProductList-Body"/>
      </w:pPr>
    </w:p>
    <w:p w14:paraId="79B064B8" w14:textId="190589DB"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9798A0"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C86427">
        <w:tc>
          <w:tcPr>
            <w:tcW w:w="5400" w:type="dxa"/>
          </w:tcPr>
          <w:p w14:paraId="077ED045" w14:textId="1ECDA385" w:rsidR="008C5EDB" w:rsidRPr="00EF7CF9" w:rsidRDefault="008C5EDB" w:rsidP="00F01ED6">
            <w:pPr>
              <w:pStyle w:val="ProductList-OfferingBody"/>
              <w:jc w:val="center"/>
            </w:pPr>
            <w:r>
              <w:t>&lt; 99,9%</w:t>
            </w:r>
          </w:p>
        </w:tc>
        <w:tc>
          <w:tcPr>
            <w:tcW w:w="5400" w:type="dxa"/>
          </w:tcPr>
          <w:p w14:paraId="27088976" w14:textId="77777777" w:rsidR="008C5EDB" w:rsidRPr="00EF7CF9" w:rsidRDefault="008C5EDB" w:rsidP="00F01ED6">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F01ED6">
            <w:pPr>
              <w:pStyle w:val="ProductList-OfferingBody"/>
              <w:jc w:val="center"/>
            </w:pPr>
            <w:r>
              <w:t>&lt; 99%</w:t>
            </w:r>
          </w:p>
        </w:tc>
        <w:tc>
          <w:tcPr>
            <w:tcW w:w="5400" w:type="dxa"/>
          </w:tcPr>
          <w:p w14:paraId="46AE6A16" w14:textId="77777777" w:rsidR="008C5EDB" w:rsidRPr="00EF7CF9" w:rsidRDefault="008C5EDB" w:rsidP="00F01ED6">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F01ED6">
            <w:pPr>
              <w:pStyle w:val="ProductList-OfferingBody"/>
              <w:jc w:val="center"/>
            </w:pPr>
            <w:r>
              <w:t>&lt; 95%</w:t>
            </w:r>
          </w:p>
        </w:tc>
        <w:tc>
          <w:tcPr>
            <w:tcW w:w="5400" w:type="dxa"/>
          </w:tcPr>
          <w:p w14:paraId="68F6EC9A" w14:textId="77777777" w:rsidR="008C5EDB" w:rsidRPr="00EF7CF9" w:rsidRDefault="008C5EDB" w:rsidP="00F01ED6">
            <w:pPr>
              <w:pStyle w:val="ProductList-OfferingBody"/>
              <w:jc w:val="center"/>
            </w:pPr>
            <w:r>
              <w:t>100%</w:t>
            </w:r>
          </w:p>
        </w:tc>
      </w:tr>
    </w:tbl>
    <w:p w14:paraId="428BBD97" w14:textId="77777777" w:rsidR="00D86CF6" w:rsidRDefault="00D86CF6" w:rsidP="000C4CD3">
      <w:pPr>
        <w:pStyle w:val="ProductList-Body"/>
        <w:rPr>
          <w:rFonts w:ascii="Calibri" w:hAnsi="Calibri" w:cs="Calibri"/>
          <w:b/>
          <w:color w:val="00188F"/>
          <w:szCs w:val="18"/>
        </w:rPr>
      </w:pPr>
      <w:bookmarkStart w:id="71" w:name="_Toc457821514"/>
    </w:p>
    <w:p w14:paraId="202AA9D3" w14:textId="77777777" w:rsidR="00D86CF6" w:rsidRPr="00D81517" w:rsidRDefault="00D86CF6" w:rsidP="00D86CF6">
      <w:pPr>
        <w:pStyle w:val="ProductList-Body"/>
        <w:rPr>
          <w:rFonts w:ascii="Calibri" w:hAnsi="Calibri" w:cs="Calibri"/>
          <w:b/>
          <w:color w:val="00188F"/>
        </w:rPr>
      </w:pPr>
      <w:r>
        <w:rPr>
          <w:rFonts w:ascii="Calibri" w:hAnsi="Calibri" w:cs="Calibri"/>
          <w:b/>
          <w:color w:val="00188F"/>
        </w:rPr>
        <w:t>O nível de serviço para a Disponibilidade de OWA não se aplica aos seguintes cenários:</w:t>
      </w:r>
    </w:p>
    <w:p w14:paraId="1FC1D3FA"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Ataques Denial of Service (DoS)</w:t>
      </w:r>
    </w:p>
    <w:p w14:paraId="69EDECDE"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Configuração incorreta do Inquilino do Microsoft 365</w:t>
      </w:r>
    </w:p>
    <w:p w14:paraId="67A4F2B0"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Problemas de rede fora do Limite do Microsoft 365</w:t>
      </w:r>
    </w:p>
    <w:p w14:paraId="3DFF354F"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Exceder os limites de envio/receção do Microsoft 365</w:t>
      </w:r>
    </w:p>
    <w:p w14:paraId="02ACFCB5"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Problemas devido a Extensões (ou seja, políticas personalizadas do inquilino, aplicações)</w:t>
      </w:r>
    </w:p>
    <w:p w14:paraId="41675989"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Incidentes induzidos por terceiros (ou seja, ISP, OnPrem, etc.)</w:t>
      </w:r>
    </w:p>
    <w:p w14:paraId="299DA75F" w14:textId="77777777" w:rsidR="00D86CF6" w:rsidRDefault="00D86CF6" w:rsidP="000C4CD3">
      <w:pPr>
        <w:pStyle w:val="ProductList-Body"/>
        <w:rPr>
          <w:rFonts w:ascii="Calibri" w:hAnsi="Calibri" w:cs="Calibri"/>
          <w:b/>
          <w:color w:val="00188F"/>
          <w:szCs w:val="18"/>
        </w:rPr>
      </w:pPr>
    </w:p>
    <w:p w14:paraId="56BA3BA6" w14:textId="05F52BCA" w:rsidR="000C4CD3" w:rsidRPr="00545240" w:rsidRDefault="000C4CD3" w:rsidP="000C4CD3">
      <w:pPr>
        <w:pStyle w:val="ProductList-Body"/>
        <w:rPr>
          <w:rFonts w:ascii="Calibri" w:hAnsi="Calibri" w:cs="Calibri"/>
          <w:color w:val="00188F"/>
          <w:szCs w:val="18"/>
        </w:rPr>
      </w:pPr>
      <w:r>
        <w:rPr>
          <w:rFonts w:ascii="Calibri" w:hAnsi="Calibri" w:cs="Calibri"/>
          <w:b/>
          <w:color w:val="00188F"/>
          <w:szCs w:val="18"/>
        </w:rPr>
        <w:t>Percentagem de Período de Disponibilidade para o Tempo de Entrega do E-mail do Exchange</w:t>
      </w:r>
    </w:p>
    <w:p w14:paraId="418F4012" w14:textId="77777777" w:rsidR="000C4CD3" w:rsidRPr="00CD6A13" w:rsidRDefault="000C4CD3" w:rsidP="000C4CD3">
      <w:pPr>
        <w:pStyle w:val="ProductList-Body"/>
        <w:rPr>
          <w:rFonts w:ascii="Calibri" w:hAnsi="Calibri" w:cs="Calibri"/>
          <w:b/>
          <w:color w:val="00188F"/>
          <w:szCs w:val="18"/>
        </w:rPr>
      </w:pPr>
      <w:r>
        <w:rPr>
          <w:rFonts w:ascii="Calibri" w:hAnsi="Calibri" w:cs="Calibri"/>
          <w:b/>
          <w:color w:val="00188F"/>
          <w:szCs w:val="18"/>
        </w:rPr>
        <w:t>Entrega de E-mail Interno do M365</w:t>
      </w:r>
    </w:p>
    <w:p w14:paraId="2F99DA8A" w14:textId="77777777" w:rsidR="000C4CD3" w:rsidRPr="00545240" w:rsidRDefault="000C4CD3" w:rsidP="000C4CD3">
      <w:pPr>
        <w:pStyle w:val="ProductList-Body"/>
        <w:rPr>
          <w:rFonts w:ascii="Calibri" w:hAnsi="Calibri" w:cs="Calibri"/>
          <w:szCs w:val="18"/>
        </w:rPr>
      </w:pPr>
      <w:r>
        <w:rPr>
          <w:rFonts w:ascii="Calibri" w:hAnsi="Calibri" w:cs="Calibri"/>
          <w:szCs w:val="18"/>
        </w:rPr>
        <w:t>A Entrega de E-mail Interno do M365 é definida como as 95% mensagens mais rápidas medidas em segundos ao longo de um Período Aplicável dentro do limite do Microsoft 365 e é aplicável aos seguintes cenários:</w:t>
      </w:r>
    </w:p>
    <w:p w14:paraId="3C61BE78"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Entrada na caixa de correio alojada na cloud do Microsoft 365</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 e-mail entra no limite do Microsoft 365 até o e-mail ser entregue na caixa de correio alojada na cloud do Microsoft 365</w:t>
      </w:r>
      <w:r>
        <w:rPr>
          <w:rFonts w:ascii="Calibri" w:hAnsi="Calibri" w:cs="Calibri"/>
          <w:szCs w:val="18"/>
        </w:rPr>
        <w:t>.</w:t>
      </w:r>
    </w:p>
    <w:p w14:paraId="0CD4CF5F"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intrainquilino para a caixa de correio alojada na cloud do Microsoft 365 (Interinquilino excluído)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uma caixa de correio alojada na cloud do Microsoft 365 envia o e-mail e que este é entregue noutra caixa de correio alojada na cloud do Microsoft 365</w:t>
      </w:r>
      <w:r>
        <w:rPr>
          <w:rFonts w:ascii="Calibri" w:hAnsi="Calibri" w:cs="Calibri"/>
          <w:szCs w:val="18"/>
        </w:rPr>
        <w:t>.</w:t>
      </w:r>
    </w:p>
    <w:p w14:paraId="5B2437D1" w14:textId="77777777" w:rsidR="000C4CD3" w:rsidRPr="00545240" w:rsidRDefault="000C4CD3" w:rsidP="000C4CD3">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Caixa de correio alojada na cloud do Microsoft 365 para um destinatário externo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uma caixa de correio alojada na cloud do Microsoft 365 envia e-mail para um destinatário externo, onde o atraso foi identificado como uma falha no limite do inquilino do Microsoft 365</w:t>
      </w:r>
      <w:r>
        <w:rPr>
          <w:rFonts w:ascii="Calibri" w:hAnsi="Calibri" w:cs="Calibri"/>
          <w:szCs w:val="18"/>
        </w:rPr>
        <w:t>.</w:t>
      </w:r>
    </w:p>
    <w:p w14:paraId="177E31A2"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Reencaminhamento do Microsoft 365 para um destinatário externo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 e-mail entra no limite do Microsoft 365 do ambiente no local de um cliente através de um conector de entrada e sai do limite do inquilino do Microsoft 365, e o atraso foi identificado como uma falha no limite do Microsoft 365.</w:t>
      </w:r>
    </w:p>
    <w:p w14:paraId="5F42CC1F" w14:textId="77777777" w:rsidR="000C4CD3" w:rsidRPr="00545240" w:rsidRDefault="000C4CD3" w:rsidP="000C4CD3">
      <w:pPr>
        <w:pStyle w:val="ProductList-Body"/>
        <w:ind w:left="720"/>
        <w:rPr>
          <w:rFonts w:ascii="Calibri" w:hAnsi="Calibri" w:cs="Calibri"/>
          <w:szCs w:val="18"/>
        </w:rPr>
      </w:pPr>
    </w:p>
    <w:p w14:paraId="209DAAEA" w14:textId="77777777" w:rsidR="000C4CD3" w:rsidRPr="00545240" w:rsidRDefault="000C4CD3" w:rsidP="000C4CD3">
      <w:pPr>
        <w:pStyle w:val="ProductList-Body"/>
        <w:rPr>
          <w:rFonts w:ascii="Calibri" w:hAnsi="Calibri" w:cs="Calibri"/>
          <w:bCs/>
          <w:szCs w:val="18"/>
        </w:rPr>
      </w:pPr>
      <w:r>
        <w:rPr>
          <w:rFonts w:ascii="Calibri" w:hAnsi="Calibri" w:cs="Calibri"/>
          <w:bCs/>
          <w:szCs w:val="18"/>
        </w:rPr>
        <w:t>A Entrega de E-mail Interno do M365 é medida e, depois, ordenada pelo tempo decorrido. Os 95% mais rápidos das medições são utilizados para criar o tempo de entrega médio para o Período Aplicável.</w:t>
      </w:r>
    </w:p>
    <w:p w14:paraId="5BB28AD4" w14:textId="77777777" w:rsidR="000C4CD3" w:rsidRPr="00545240" w:rsidRDefault="000C4CD3" w:rsidP="000C4CD3">
      <w:pPr>
        <w:pStyle w:val="ProductList-Body"/>
        <w:rPr>
          <w:rFonts w:ascii="Calibri" w:hAnsi="Calibri" w:cs="Calibri"/>
          <w:szCs w:val="18"/>
        </w:rPr>
      </w:pPr>
    </w:p>
    <w:p w14:paraId="6B84CD37" w14:textId="77777777" w:rsidR="000C4CD3" w:rsidRPr="00545240" w:rsidRDefault="000C4CD3" w:rsidP="000C4CD3">
      <w:pPr>
        <w:pStyle w:val="ProductList-Body"/>
        <w:rPr>
          <w:rFonts w:ascii="Calibri" w:hAnsi="Calibri" w:cs="Calibri"/>
          <w:szCs w:val="18"/>
        </w:rPr>
      </w:pPr>
      <w:r>
        <w:rPr>
          <w:rFonts w:ascii="Calibri" w:eastAsia="Times New Roman" w:hAnsi="Calibri" w:cs="Calibri"/>
          <w:color w:val="000000"/>
          <w:szCs w:val="18"/>
        </w:rPr>
        <w:t>Os clientes são elegíveis para um crédito de serviço quando os 95% mais rápidos da entrega de e-mail para o Período Aplicável excede os seguintes limiares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C4CD3" w14:paraId="7F23A933"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C1ADE4" w14:textId="77777777" w:rsidR="000C4CD3" w:rsidRPr="00726397" w:rsidRDefault="000C4CD3"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Média do Tempo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38E7DD" w14:textId="77777777" w:rsidR="000C4CD3" w:rsidRPr="00726397" w:rsidRDefault="000C4CD3"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Serviço</w:t>
            </w:r>
          </w:p>
        </w:tc>
      </w:tr>
      <w:tr w:rsidR="000C4CD3" w14:paraId="1B010A72"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F1845" w14:textId="77777777" w:rsidR="000C4CD3" w:rsidRPr="00726397" w:rsidRDefault="000C4CD3"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2CF21" w14:textId="77777777" w:rsidR="000C4CD3" w:rsidRPr="00726397" w:rsidRDefault="000C4CD3"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0C4CD3" w14:paraId="1C38652C"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A68A5"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D4261"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0C4CD3" w14:paraId="77AC82E3"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E0BF9"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E11C4"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302633E1" w14:textId="77777777" w:rsidR="000C4CD3" w:rsidRPr="00C63332" w:rsidRDefault="000C4CD3" w:rsidP="000C4CD3">
      <w:pPr>
        <w:pStyle w:val="ProductList-Body"/>
        <w:rPr>
          <w:sz w:val="12"/>
          <w:szCs w:val="12"/>
        </w:rPr>
      </w:pPr>
    </w:p>
    <w:p w14:paraId="44A10A7E" w14:textId="77777777" w:rsidR="000C4CD3" w:rsidRPr="00C07B33" w:rsidRDefault="000C4CD3" w:rsidP="000C4CD3">
      <w:pPr>
        <w:pStyle w:val="ProductList-Body"/>
        <w:rPr>
          <w:rFonts w:ascii="Calibri" w:hAnsi="Calibri" w:cs="Calibri"/>
          <w:b/>
          <w:color w:val="00188F"/>
          <w:szCs w:val="18"/>
        </w:rPr>
      </w:pPr>
      <w:r>
        <w:rPr>
          <w:rFonts w:ascii="Calibri" w:hAnsi="Calibri" w:cs="Calibri"/>
          <w:b/>
          <w:color w:val="00188F"/>
          <w:szCs w:val="18"/>
        </w:rPr>
        <w:t>Entrega de E-mail Garantida</w:t>
      </w:r>
    </w:p>
    <w:p w14:paraId="711C4FC0" w14:textId="77777777" w:rsidR="000C4CD3" w:rsidRPr="00B47C93" w:rsidRDefault="000C4CD3" w:rsidP="000C4CD3">
      <w:pPr>
        <w:pStyle w:val="ProductList-Body"/>
        <w:rPr>
          <w:rFonts w:ascii="Calibri" w:hAnsi="Calibri" w:cs="Calibri"/>
          <w:b/>
          <w:bCs/>
          <w:szCs w:val="18"/>
        </w:rPr>
      </w:pPr>
      <w:r w:rsidRPr="00B47C93">
        <w:rPr>
          <w:rFonts w:ascii="Calibri" w:hAnsi="Calibri" w:cs="Calibri"/>
        </w:rPr>
        <w:t>Entrega de E-mail Garantida</w:t>
      </w:r>
      <w:r w:rsidRPr="00B47C93">
        <w:rPr>
          <w:rFonts w:ascii="Calibri" w:hAnsi="Calibri" w:cs="Calibri"/>
          <w:bCs/>
          <w:szCs w:val="18"/>
        </w:rPr>
        <w:t xml:space="preserve"> dentro do limite do Microsoft 365 refere-se à entrega bem-sucedida de mensagens de e-mail. Não há um período de indisponibilidade agendado para este efeito e aplica-se apenas a falhas dentro do limite do M365.</w:t>
      </w:r>
    </w:p>
    <w:p w14:paraId="662C59A1" w14:textId="77777777" w:rsidR="000C4CD3" w:rsidRPr="002A0A04" w:rsidRDefault="000C4CD3" w:rsidP="000C4CD3">
      <w:pPr>
        <w:pStyle w:val="ProductList-Body"/>
        <w:rPr>
          <w:rFonts w:ascii="Calibri" w:hAnsi="Calibri" w:cs="Calibri"/>
          <w:bCs/>
        </w:rPr>
      </w:pPr>
    </w:p>
    <w:p w14:paraId="4E777072" w14:textId="77777777" w:rsidR="000C4CD3" w:rsidRPr="003B48E1" w:rsidRDefault="000C4CD3" w:rsidP="000C4CD3">
      <w:pPr>
        <w:pStyle w:val="ProductList-Body"/>
        <w:rPr>
          <w:rFonts w:ascii="Calibri" w:hAnsi="Calibri" w:cs="Calibri"/>
          <w:b/>
          <w:bCs/>
          <w:szCs w:val="18"/>
        </w:rPr>
      </w:pPr>
      <w:r>
        <w:rPr>
          <w:rFonts w:ascii="Calibri" w:hAnsi="Calibri" w:cs="Calibri"/>
          <w:szCs w:val="18"/>
        </w:rPr>
        <w:t>Percentagem de Período de Disponibilidade:</w:t>
      </w:r>
      <w:r>
        <w:rPr>
          <w:rFonts w:ascii="Calibri" w:hAnsi="Calibri" w:cs="Calibri"/>
          <w:bCs/>
          <w:szCs w:val="18"/>
        </w:rPr>
        <w:t xml:space="preserve"> A Percentagem de Período de Disponibilidade é calculada através da seguinte fórmula:</w:t>
      </w:r>
    </w:p>
    <w:p w14:paraId="5721A206" w14:textId="77777777" w:rsidR="000C4CD3" w:rsidRPr="002A0A04" w:rsidRDefault="000C4CD3" w:rsidP="000C4CD3">
      <w:pPr>
        <w:pStyle w:val="ProductList-Body"/>
        <w:rPr>
          <w:rFonts w:ascii="Calibri" w:hAnsi="Calibri" w:cs="Calibri"/>
          <w:bCs/>
        </w:rPr>
      </w:pPr>
    </w:p>
    <w:p w14:paraId="4051AD80" w14:textId="77777777" w:rsidR="000C4CD3" w:rsidRPr="002A0A04" w:rsidRDefault="00000000" w:rsidP="000C4CD3">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num mês-Período de Indisponibilidade</m:t>
              </m:r>
            </m:num>
            <m:den>
              <m:r>
                <w:rPr>
                  <w:rFonts w:ascii="Cambria Math" w:hAnsi="Cambria Math" w:cs="Calibri"/>
                </w:rPr>
                <m:t>Total de minutos num mês</m:t>
              </m:r>
            </m:den>
          </m:f>
          <m:r>
            <m:rPr>
              <m:sty m:val="bi"/>
            </m:rPr>
            <w:rPr>
              <w:rFonts w:ascii="Cambria Math" w:hAnsi="Cambria Math" w:cs="Calibri"/>
            </w:rPr>
            <m:t xml:space="preserve"> </m:t>
          </m:r>
          <m:r>
            <w:rPr>
              <w:rFonts w:ascii="Cambria Math" w:hAnsi="Cambria Math" w:cs="Calibri"/>
            </w:rPr>
            <m:t>x 100</m:t>
          </m:r>
        </m:oMath>
      </m:oMathPara>
    </w:p>
    <w:p w14:paraId="1879E1DE" w14:textId="77777777" w:rsidR="000C4CD3" w:rsidRPr="002A0A04" w:rsidRDefault="000C4CD3" w:rsidP="000C4CD3">
      <w:pPr>
        <w:pStyle w:val="ProductList-Body"/>
        <w:rPr>
          <w:rFonts w:ascii="Calibri" w:hAnsi="Calibri" w:cs="Calibri"/>
          <w:bCs/>
        </w:rPr>
      </w:pPr>
    </w:p>
    <w:p w14:paraId="16DAB760" w14:textId="77777777" w:rsidR="000C4CD3" w:rsidRPr="003B48E1" w:rsidRDefault="000C4CD3" w:rsidP="000C4CD3">
      <w:pPr>
        <w:pStyle w:val="ProductList-Body"/>
        <w:rPr>
          <w:rFonts w:ascii="Calibri" w:hAnsi="Calibri" w:cs="Calibri"/>
          <w:b/>
          <w:bCs/>
          <w:szCs w:val="18"/>
        </w:rPr>
      </w:pPr>
      <w:r>
        <w:rPr>
          <w:rFonts w:ascii="Calibri" w:hAnsi="Calibri" w:cs="Calibri"/>
          <w:bCs/>
          <w:szCs w:val="18"/>
        </w:rPr>
        <w:t>em que o Período de Indisponibilidade é a soma do tempo (em minutos) multiplicada pela fração do serviço que não está disponível, somada ao longo do mês do calendário.</w:t>
      </w:r>
    </w:p>
    <w:p w14:paraId="5FB99A6A" w14:textId="77777777" w:rsidR="000C4CD3" w:rsidRPr="002A0A04" w:rsidRDefault="000C4CD3" w:rsidP="000C4CD3">
      <w:pPr>
        <w:pStyle w:val="ProductList-Body"/>
        <w:rPr>
          <w:rFonts w:ascii="Calibri" w:hAnsi="Calibri" w:cs="Calibri"/>
          <w:bCs/>
        </w:rPr>
      </w:pPr>
    </w:p>
    <w:p w14:paraId="6E65CBB7" w14:textId="77777777" w:rsidR="000C4CD3" w:rsidRDefault="000C4CD3" w:rsidP="000C4CD3">
      <w:pPr>
        <w:pStyle w:val="ProductList-Body"/>
        <w:rPr>
          <w:rFonts w:ascii="Calibri" w:hAnsi="Calibri" w:cs="Calibri"/>
          <w:szCs w:val="18"/>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4CD3" w:rsidRPr="00C574D6" w14:paraId="5A9ABA90"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2452B4F" w14:textId="77777777" w:rsidR="000C4CD3" w:rsidRPr="002A0A04" w:rsidRDefault="000C4CD3"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Percentagem de Período de Disponibilidade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9B4B0B" w14:textId="77777777" w:rsidR="000C4CD3" w:rsidRPr="002A0A04" w:rsidRDefault="000C4CD3"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Crédito de Serviço </w:t>
            </w:r>
          </w:p>
        </w:tc>
      </w:tr>
      <w:tr w:rsidR="000C4CD3" w:rsidRPr="000F19E0" w14:paraId="16AE4A3A"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CF410C8"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3A34CD21"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25% </w:t>
            </w:r>
          </w:p>
        </w:tc>
      </w:tr>
      <w:tr w:rsidR="000C4CD3" w:rsidRPr="000F19E0" w14:paraId="058CC25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7624160"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4F72E374"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50% </w:t>
            </w:r>
          </w:p>
        </w:tc>
      </w:tr>
      <w:tr w:rsidR="000C4CD3" w:rsidRPr="000F19E0" w14:paraId="4ABE0C12"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4085E59"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50182E89"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77E1E142" w14:textId="77777777" w:rsidR="000C4CD3" w:rsidRPr="00C63332" w:rsidRDefault="000C4CD3" w:rsidP="000C4CD3">
      <w:pPr>
        <w:pStyle w:val="ProductList-Body"/>
        <w:rPr>
          <w:rFonts w:ascii="Calibri" w:hAnsi="Calibri" w:cs="Calibri"/>
          <w:bCs/>
          <w:sz w:val="12"/>
          <w:szCs w:val="12"/>
        </w:rPr>
      </w:pPr>
    </w:p>
    <w:p w14:paraId="2F8B8F33" w14:textId="77777777" w:rsidR="000C4CD3" w:rsidRPr="00074E40" w:rsidRDefault="000C4CD3" w:rsidP="000C4CD3">
      <w:pPr>
        <w:spacing w:after="0"/>
        <w:rPr>
          <w:rFonts w:ascii="Calibri" w:hAnsi="Calibri" w:cs="Calibri"/>
          <w:b/>
          <w:color w:val="00188F"/>
          <w:sz w:val="18"/>
        </w:rPr>
      </w:pPr>
      <w:r>
        <w:rPr>
          <w:rFonts w:ascii="Calibri" w:hAnsi="Calibri" w:cs="Calibri"/>
          <w:b/>
          <w:color w:val="00188F"/>
          <w:sz w:val="18"/>
        </w:rPr>
        <w:t>Disponibilidade de Entrada/Saída de E-mail do M365 </w:t>
      </w:r>
    </w:p>
    <w:p w14:paraId="18015280" w14:textId="77777777" w:rsidR="000C4CD3" w:rsidRPr="00D30804" w:rsidRDefault="000C4CD3" w:rsidP="000C4CD3">
      <w:pPr>
        <w:rPr>
          <w:rFonts w:ascii="Calibri" w:hAnsi="Calibri" w:cs="Calibri"/>
          <w:sz w:val="18"/>
          <w:szCs w:val="18"/>
        </w:rPr>
      </w:pPr>
      <w:r>
        <w:rPr>
          <w:rFonts w:ascii="Calibri" w:hAnsi="Calibri" w:cs="Calibri"/>
          <w:sz w:val="18"/>
          <w:szCs w:val="18"/>
        </w:rPr>
        <w:t xml:space="preserve">A Disponibilidade de Entrada/Saída de E-mail do M365 é definida como qualquer período de tempo em que o M365 não consegue aceitar ou enviar mensagens de e-mail devido a um problema no limite do M365. Não há qualquer período de indisponibilidade agendada para este serviço. </w:t>
      </w:r>
    </w:p>
    <w:p w14:paraId="05C6AA1B" w14:textId="77777777" w:rsidR="000C4CD3" w:rsidRPr="00D30804" w:rsidRDefault="000C4CD3" w:rsidP="000C4CD3">
      <w:pPr>
        <w:rPr>
          <w:rFonts w:ascii="Calibri" w:hAnsi="Calibri" w:cs="Calibri"/>
          <w:sz w:val="18"/>
          <w:szCs w:val="18"/>
        </w:rPr>
      </w:pPr>
      <w:r>
        <w:rPr>
          <w:rFonts w:ascii="Calibri" w:hAnsi="Calibri" w:cs="Calibri"/>
          <w:sz w:val="18"/>
          <w:szCs w:val="18"/>
        </w:rPr>
        <w:t xml:space="preserve">A disponibilidade divide-se em duas categorias: </w:t>
      </w:r>
    </w:p>
    <w:p w14:paraId="31788ABA" w14:textId="77777777" w:rsidR="000C4CD3" w:rsidRPr="00D30804" w:rsidRDefault="000C4CD3" w:rsidP="000C4CD3">
      <w:pPr>
        <w:numPr>
          <w:ilvl w:val="0"/>
          <w:numId w:val="42"/>
        </w:numPr>
        <w:spacing w:after="0"/>
        <w:rPr>
          <w:rFonts w:ascii="Calibri" w:hAnsi="Calibri" w:cs="Calibri"/>
          <w:sz w:val="18"/>
          <w:szCs w:val="18"/>
        </w:rPr>
      </w:pPr>
      <w:r>
        <w:rPr>
          <w:rFonts w:ascii="Calibri" w:hAnsi="Calibri" w:cs="Calibri"/>
          <w:sz w:val="18"/>
          <w:szCs w:val="18"/>
        </w:rPr>
        <w:t>Rejeições permanentes devido a problemas com o M365 </w:t>
      </w:r>
    </w:p>
    <w:p w14:paraId="786ECEE5" w14:textId="77777777" w:rsidR="000C4CD3" w:rsidRPr="00D30804" w:rsidRDefault="000C4CD3" w:rsidP="000C4CD3">
      <w:pPr>
        <w:numPr>
          <w:ilvl w:val="0"/>
          <w:numId w:val="43"/>
        </w:numPr>
        <w:spacing w:after="0"/>
        <w:rPr>
          <w:rFonts w:ascii="Calibri" w:hAnsi="Calibri" w:cs="Calibri"/>
          <w:sz w:val="18"/>
          <w:szCs w:val="18"/>
        </w:rPr>
      </w:pPr>
      <w:r>
        <w:rPr>
          <w:rFonts w:ascii="Calibri" w:hAnsi="Calibri" w:cs="Calibri"/>
          <w:sz w:val="18"/>
          <w:szCs w:val="18"/>
        </w:rPr>
        <w:t>Rejeições transitórias devido a problemas com o M365 </w:t>
      </w:r>
    </w:p>
    <w:p w14:paraId="4E04126A" w14:textId="77777777" w:rsidR="000C4CD3" w:rsidRPr="00D30804" w:rsidRDefault="000C4CD3" w:rsidP="000C4CD3">
      <w:pPr>
        <w:spacing w:after="0"/>
        <w:rPr>
          <w:rFonts w:ascii="Calibri" w:hAnsi="Calibri" w:cs="Calibri"/>
          <w:sz w:val="18"/>
          <w:szCs w:val="18"/>
        </w:rPr>
      </w:pPr>
    </w:p>
    <w:p w14:paraId="0D4343A7" w14:textId="77777777" w:rsidR="000C4CD3" w:rsidRPr="00074E40" w:rsidRDefault="000C4CD3" w:rsidP="000C4CD3">
      <w:pPr>
        <w:spacing w:after="0"/>
        <w:rPr>
          <w:rFonts w:ascii="Calibri" w:hAnsi="Calibri" w:cs="Calibri"/>
          <w:b/>
          <w:color w:val="00188F"/>
          <w:sz w:val="18"/>
        </w:rPr>
      </w:pPr>
      <w:r>
        <w:rPr>
          <w:rFonts w:ascii="Calibri" w:hAnsi="Calibri" w:cs="Calibri"/>
          <w:b/>
          <w:color w:val="00188F"/>
          <w:sz w:val="18"/>
        </w:rPr>
        <w:t xml:space="preserve">Percentagem de Período de Disponibilidade </w:t>
      </w:r>
    </w:p>
    <w:p w14:paraId="68871AA8" w14:textId="77777777" w:rsidR="000C4CD3" w:rsidRPr="00D30804" w:rsidRDefault="000C4CD3" w:rsidP="000C4CD3">
      <w:pPr>
        <w:numPr>
          <w:ilvl w:val="0"/>
          <w:numId w:val="44"/>
        </w:numPr>
        <w:rPr>
          <w:rFonts w:ascii="Calibri" w:hAnsi="Calibri" w:cs="Calibri"/>
          <w:sz w:val="18"/>
          <w:szCs w:val="18"/>
        </w:rPr>
      </w:pPr>
      <w:r>
        <w:rPr>
          <w:rFonts w:ascii="Calibri" w:hAnsi="Calibri" w:cs="Calibri"/>
          <w:sz w:val="18"/>
          <w:szCs w:val="18"/>
        </w:rPr>
        <w:t>Rejeições permanentes devido a problemas com o M365 </w:t>
      </w:r>
    </w:p>
    <w:p w14:paraId="221699B1" w14:textId="77777777" w:rsidR="000C4CD3" w:rsidRDefault="000C4CD3" w:rsidP="000C4CD3">
      <w:pPr>
        <w:pStyle w:val="ProductList-Body"/>
        <w:rPr>
          <w:rFonts w:ascii="Calibri" w:hAnsi="Calibri" w:cs="Calibri"/>
        </w:rPr>
      </w:pPr>
      <w:r>
        <w:rPr>
          <w:rFonts w:ascii="Calibri" w:hAnsi="Calibri" w:cs="Calibri"/>
        </w:rPr>
        <w:lastRenderedPageBreak/>
        <w:t>A Percentagem de Período de Disponibilidade é calculada através da seguinte fórmula:</w:t>
      </w:r>
    </w:p>
    <w:p w14:paraId="5812DC0A" w14:textId="77777777" w:rsidR="000C4CD3" w:rsidRPr="00545240" w:rsidRDefault="000C4CD3" w:rsidP="000C4CD3">
      <w:pPr>
        <w:pStyle w:val="ProductList-Body"/>
        <w:rPr>
          <w:rFonts w:ascii="Calibri" w:hAnsi="Calibri" w:cs="Calibri"/>
        </w:rPr>
      </w:pPr>
    </w:p>
    <w:p w14:paraId="66904312" w14:textId="77777777" w:rsidR="000C4CD3" w:rsidRPr="002A0A04" w:rsidRDefault="00000000" w:rsidP="000C4CD3">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num mês-Período de Indisponibilidade</m:t>
              </m:r>
            </m:num>
            <m:den>
              <m:r>
                <w:rPr>
                  <w:rFonts w:ascii="Cambria Math" w:hAnsi="Cambria Math" w:cs="Calibri"/>
                </w:rPr>
                <m:t>Total de minutos num mês</m:t>
              </m:r>
            </m:den>
          </m:f>
          <m:r>
            <w:rPr>
              <w:rFonts w:ascii="Cambria Math" w:hAnsi="Cambria Math" w:cs="Calibri"/>
            </w:rPr>
            <m:t xml:space="preserve"> x 100</m:t>
          </m:r>
        </m:oMath>
      </m:oMathPara>
    </w:p>
    <w:p w14:paraId="476A08C4" w14:textId="77777777" w:rsidR="000C4CD3" w:rsidRDefault="000C4CD3" w:rsidP="000C4CD3">
      <w:pPr>
        <w:pStyle w:val="ProductList-Body"/>
      </w:pPr>
    </w:p>
    <w:p w14:paraId="49DF3160" w14:textId="77777777" w:rsidR="000C4CD3" w:rsidRDefault="000C4CD3" w:rsidP="000C4CD3">
      <w:pPr>
        <w:pStyle w:val="ProductList-Body"/>
        <w:rPr>
          <w:rFonts w:ascii="Calibri" w:hAnsi="Calibri" w:cs="Calibri"/>
        </w:rPr>
      </w:pPr>
      <w:r>
        <w:rPr>
          <w:rFonts w:ascii="Calibri" w:hAnsi="Calibri" w:cs="Calibri"/>
        </w:rPr>
        <w:t>em que o Período de Indisponibilidade é a soma do tempo (em minutos) multiplicada pela fração do serviço que não está disponível, somada ao longo do mês do calendário.</w:t>
      </w:r>
    </w:p>
    <w:p w14:paraId="1276187A" w14:textId="77777777" w:rsidR="000C4CD3" w:rsidRPr="002A0A04" w:rsidRDefault="000C4CD3" w:rsidP="000C4CD3">
      <w:pPr>
        <w:pStyle w:val="ProductList-Body"/>
        <w:rPr>
          <w:rFonts w:ascii="Calibri" w:hAnsi="Calibri" w:cs="Calibri"/>
        </w:rPr>
      </w:pPr>
    </w:p>
    <w:p w14:paraId="5795C9AD" w14:textId="77777777" w:rsidR="000C4CD3" w:rsidRPr="008F32C8" w:rsidRDefault="000C4CD3" w:rsidP="000C4CD3">
      <w:pPr>
        <w:numPr>
          <w:ilvl w:val="0"/>
          <w:numId w:val="44"/>
        </w:numPr>
        <w:rPr>
          <w:rFonts w:ascii="Calibri" w:hAnsi="Calibri" w:cs="Calibri"/>
          <w:b/>
          <w:bCs/>
          <w:sz w:val="18"/>
          <w:szCs w:val="18"/>
        </w:rPr>
      </w:pPr>
      <w:r>
        <w:rPr>
          <w:rFonts w:ascii="Calibri" w:hAnsi="Calibri" w:cs="Calibri"/>
          <w:bCs/>
          <w:sz w:val="18"/>
          <w:szCs w:val="18"/>
        </w:rPr>
        <w:t>Rejeições transitórias devido a problemas com o M365</w:t>
      </w:r>
    </w:p>
    <w:p w14:paraId="2866C505" w14:textId="77777777" w:rsidR="000C4CD3" w:rsidRDefault="000C4CD3" w:rsidP="000C4CD3">
      <w:pPr>
        <w:spacing w:after="0"/>
        <w:rPr>
          <w:rFonts w:ascii="Calibri" w:hAnsi="Calibri" w:cs="Calibri"/>
          <w:b/>
          <w:color w:val="00188F"/>
          <w:sz w:val="18"/>
        </w:rPr>
      </w:pPr>
      <w:r>
        <w:rPr>
          <w:rFonts w:ascii="Calibri" w:hAnsi="Calibri" w:cs="Calibri"/>
          <w:b/>
          <w:color w:val="00188F"/>
          <w:sz w:val="18"/>
        </w:rPr>
        <w:t>Percentagem de Período de Disponibilidade</w:t>
      </w:r>
    </w:p>
    <w:p w14:paraId="5A1062CB" w14:textId="77777777" w:rsidR="000C4CD3" w:rsidRPr="00C56933" w:rsidRDefault="000C4CD3" w:rsidP="000C4CD3">
      <w:pPr>
        <w:spacing w:after="0"/>
        <w:rPr>
          <w:rFonts w:ascii="Calibri" w:hAnsi="Calibri" w:cs="Calibri"/>
          <w:sz w:val="18"/>
        </w:rPr>
      </w:pPr>
    </w:p>
    <w:p w14:paraId="09A11C1F" w14:textId="78EF060A" w:rsidR="000C4CD3" w:rsidRPr="002A0A04" w:rsidRDefault="00000000" w:rsidP="000C4CD3">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mensagens num mês-Mensagens Afetadas </m:t>
              </m:r>
            </m:num>
            <m:den>
              <m:r>
                <w:rPr>
                  <w:rFonts w:ascii="Cambria Math" w:hAnsi="Cambria Math" w:cs="Calibri"/>
                </w:rPr>
                <m:t>Total de mensagens do mês</m:t>
              </m:r>
            </m:den>
          </m:f>
          <m:r>
            <w:rPr>
              <w:rFonts w:ascii="Cambria Math" w:hAnsi="Cambria Math" w:cs="Calibri"/>
            </w:rPr>
            <m:t xml:space="preserve"> x 100</m:t>
          </m:r>
        </m:oMath>
      </m:oMathPara>
    </w:p>
    <w:p w14:paraId="04C099CC" w14:textId="77777777" w:rsidR="000C4CD3" w:rsidRPr="002A0A04" w:rsidRDefault="000C4CD3" w:rsidP="000C4CD3">
      <w:pPr>
        <w:pStyle w:val="ProductList-Body"/>
        <w:rPr>
          <w:rFonts w:ascii="Calibri" w:hAnsi="Calibri" w:cs="Calibri"/>
          <w:b/>
        </w:rPr>
      </w:pPr>
    </w:p>
    <w:p w14:paraId="6BD8D3FD" w14:textId="77777777" w:rsidR="000C4CD3" w:rsidRPr="002A0A04" w:rsidRDefault="000C4CD3" w:rsidP="000C4CD3">
      <w:pPr>
        <w:pStyle w:val="ProductList-Body"/>
        <w:rPr>
          <w:rFonts w:ascii="Calibri" w:hAnsi="Calibri" w:cs="Calibri"/>
        </w:rPr>
      </w:pPr>
      <w:r>
        <w:rPr>
          <w:rFonts w:ascii="Calibri" w:hAnsi="Calibri" w:cs="Calibri"/>
        </w:rPr>
        <w:t>As mensagens afetadas são definidas como mensagens com um atraso superior a (10) minutos durante os problemas, somadas ao longo do mês do calendário.</w:t>
      </w:r>
    </w:p>
    <w:p w14:paraId="7849898B" w14:textId="77777777" w:rsidR="000C4CD3" w:rsidRPr="00DE2B55" w:rsidRDefault="000C4CD3" w:rsidP="000C4CD3">
      <w:pPr>
        <w:pStyle w:val="ProductList-Body"/>
        <w:rPr>
          <w:rFonts w:ascii="Calibri" w:hAnsi="Calibri" w:cs="Calibri"/>
        </w:rPr>
      </w:pPr>
    </w:p>
    <w:p w14:paraId="382E846B" w14:textId="77777777" w:rsidR="000C4CD3" w:rsidRPr="00C56933" w:rsidRDefault="000C4CD3" w:rsidP="000C4CD3">
      <w:pPr>
        <w:pStyle w:val="ProductList-Body"/>
        <w:rPr>
          <w:rFonts w:ascii="Calibri" w:hAnsi="Calibri" w:cs="Calibri"/>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4CD3" w:rsidRPr="00C574D6" w14:paraId="2F50848D"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B9ADE80" w14:textId="77777777" w:rsidR="000C4CD3" w:rsidRPr="00787DF4" w:rsidRDefault="000C4CD3"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Percentagem de Período de Disponibilidade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F56C857" w14:textId="77777777" w:rsidR="000C4CD3" w:rsidRPr="00787DF4" w:rsidRDefault="000C4CD3"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Crédito de Serviço </w:t>
            </w:r>
          </w:p>
        </w:tc>
      </w:tr>
      <w:tr w:rsidR="000C4CD3" w:rsidRPr="000F19E0" w14:paraId="473A322C"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EF9F1FC"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15C52572"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25% </w:t>
            </w:r>
          </w:p>
        </w:tc>
      </w:tr>
      <w:tr w:rsidR="000C4CD3" w:rsidRPr="000F19E0" w14:paraId="4AC2382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EA39ED3"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0610BA28"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50% </w:t>
            </w:r>
          </w:p>
        </w:tc>
      </w:tr>
      <w:tr w:rsidR="000C4CD3" w:rsidRPr="000F19E0" w14:paraId="2DA69F9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7F1A6D6"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2C9A11B9"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100% </w:t>
            </w:r>
          </w:p>
        </w:tc>
      </w:tr>
    </w:tbl>
    <w:p w14:paraId="6C45B607" w14:textId="77777777" w:rsidR="000C4CD3" w:rsidRPr="00C63332" w:rsidRDefault="000C4CD3" w:rsidP="000C4CD3">
      <w:pPr>
        <w:pStyle w:val="ProductList-Body"/>
        <w:rPr>
          <w:rFonts w:ascii="Calibri" w:hAnsi="Calibri" w:cs="Calibri"/>
          <w:sz w:val="12"/>
          <w:szCs w:val="12"/>
        </w:rPr>
      </w:pPr>
    </w:p>
    <w:p w14:paraId="496517A3" w14:textId="77777777" w:rsidR="000C4CD3" w:rsidRPr="002A0A04" w:rsidRDefault="000C4CD3" w:rsidP="000C4CD3">
      <w:pPr>
        <w:pStyle w:val="ProductList-Body"/>
        <w:rPr>
          <w:rFonts w:ascii="Calibri" w:hAnsi="Calibri" w:cs="Calibri"/>
          <w:szCs w:val="18"/>
        </w:rPr>
      </w:pPr>
      <w:r>
        <w:rPr>
          <w:rFonts w:ascii="Calibri" w:hAnsi="Calibri" w:cs="Calibri"/>
          <w:szCs w:val="18"/>
        </w:rPr>
        <w:t>O Nível de Serviço de Entrega de E-mail aplica-se apenas ao e-mail comercial legítimo entregue ou enviado por contas de e-mail licenciadas do Microsoft 365 válidas. Este Nível de Serviço de Entrega de E-mail não se aplica a:</w:t>
      </w:r>
    </w:p>
    <w:p w14:paraId="4648B409"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Envios de e-mail em massa induzidos pelo cliente</w:t>
      </w:r>
    </w:p>
    <w:p w14:paraId="6E2FA5B8"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E-mail em massa (mailers de clientes, newsletters, etc.)</w:t>
      </w:r>
    </w:p>
    <w:p w14:paraId="34F565A0"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Entrega de e-mail para um arquivo</w:t>
      </w:r>
    </w:p>
    <w:p w14:paraId="4548869D"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Ataques Denial of Service (DoS)</w:t>
      </w:r>
    </w:p>
    <w:p w14:paraId="0A610690"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Configuração incorreta do Inquilino do Microsoft 365</w:t>
      </w:r>
    </w:p>
    <w:p w14:paraId="47456767"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Atrasos do e-mail em que o modo de falha está dentro do limite no local dos clientes e/ou dos fornecedores de serviços terceiros.</w:t>
      </w:r>
    </w:p>
    <w:p w14:paraId="4C9CB0E3"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Latência de rede entre o Microsoft 365 e os clientes de e-mail de utilizador final</w:t>
      </w:r>
    </w:p>
    <w:p w14:paraId="323ABF78"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que está limitado pelo Microsoft 365 para proteger o funcionamento do serviço ou porque um inquilino excedeu os limites definidos de envio e/ou receção de mensagens</w:t>
      </w:r>
      <w:r>
        <w:rPr>
          <w:rFonts w:ascii="Calibri" w:hAnsi="Calibri" w:cs="Calibri"/>
          <w:szCs w:val="18"/>
        </w:rPr>
        <w:t>.</w:t>
      </w:r>
    </w:p>
    <w:p w14:paraId="12D0319E"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Mensagens às quais o Microsoft 365 retira prioridade para proteger o estado de funcionamento do serviço (por exemplo, mensagens grandes, mensagens enviadas para um grande número de destinatários ou listas de distribuição que contêm um número de destinatários considerável).</w:t>
      </w:r>
    </w:p>
    <w:p w14:paraId="580C37C3" w14:textId="77777777" w:rsidR="000C4CD3" w:rsidRDefault="000C4CD3" w:rsidP="000C4CD3">
      <w:pPr>
        <w:pStyle w:val="ProductList-Body"/>
        <w:numPr>
          <w:ilvl w:val="0"/>
          <w:numId w:val="35"/>
        </w:numPr>
        <w:ind w:left="720"/>
        <w:rPr>
          <w:rFonts w:ascii="Calibri" w:hAnsi="Calibri" w:cs="Calibri"/>
          <w:szCs w:val="18"/>
        </w:rPr>
      </w:pPr>
      <w:r>
        <w:rPr>
          <w:rFonts w:ascii="Calibri" w:hAnsi="Calibri" w:cs="Calibri"/>
          <w:szCs w:val="18"/>
        </w:rPr>
        <w:t>Mensagens atrasadas devido a regras e políticas configuradas por clientes dispendiosos.</w:t>
      </w:r>
    </w:p>
    <w:p w14:paraId="67C42AF9" w14:textId="77777777" w:rsidR="000C4CD3" w:rsidRPr="002A0A04" w:rsidRDefault="000C4CD3" w:rsidP="000C4CD3">
      <w:pPr>
        <w:pStyle w:val="ProductList-Body"/>
        <w:rPr>
          <w:rFonts w:ascii="Calibri" w:hAnsi="Calibri" w:cs="Calibri"/>
          <w:szCs w:val="18"/>
        </w:rPr>
      </w:pPr>
    </w:p>
    <w:p w14:paraId="6BB18B50" w14:textId="77777777" w:rsidR="000C4CD3" w:rsidRPr="002A0A04" w:rsidRDefault="000C4CD3" w:rsidP="000C4CD3">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Termos Adicionais</w:t>
      </w:r>
      <w:r w:rsidRPr="00081E7B">
        <w:rPr>
          <w:rFonts w:ascii="Calibri" w:hAnsi="Calibri" w:cs="Calibri"/>
          <w:b/>
          <w:bCs/>
          <w:szCs w:val="18"/>
        </w:rPr>
        <w:t>:</w:t>
      </w:r>
      <w:r>
        <w:rPr>
          <w:rFonts w:ascii="Calibri" w:hAnsi="Calibri" w:cs="Calibri"/>
          <w:szCs w:val="18"/>
        </w:rPr>
        <w:t xml:space="preserve"> Consulte o Apêndice 1 – Compromisso de Nível de Serviço para Deteção e Bloqueio de Vírus, Eficácia do Spam ou Falso Positivo.</w:t>
      </w:r>
    </w:p>
    <w:p w14:paraId="56C446A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24A7A089" w14:textId="11E22E78" w:rsidR="008C5EDB" w:rsidRPr="00EF7CF9" w:rsidRDefault="008C5EDB" w:rsidP="00F01ED6">
      <w:pPr>
        <w:pStyle w:val="ProductList-Offering2Heading"/>
        <w:outlineLvl w:val="2"/>
      </w:pPr>
      <w:bookmarkStart w:id="72" w:name="_Toc214456739"/>
      <w:r>
        <w:t>Arquivo de Exchange Online</w:t>
      </w:r>
      <w:bookmarkEnd w:id="71"/>
      <w:bookmarkEnd w:id="72"/>
    </w:p>
    <w:p w14:paraId="4DC67B77" w14:textId="3471ADC7"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aceder às mensagens de e-mail armazenadas no respetivo arquivo. Não existe um Período de Indisponibilidade Agendado para este serviço.</w:t>
      </w:r>
    </w:p>
    <w:p w14:paraId="61369152" w14:textId="21C6E652"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C4BD72B" w14:textId="77777777" w:rsidR="001A6663" w:rsidRPr="00EF7CF9" w:rsidRDefault="001A6663" w:rsidP="00F01ED6">
      <w:pPr>
        <w:pStyle w:val="ProductList-Body"/>
      </w:pPr>
    </w:p>
    <w:p w14:paraId="7F84E6CC" w14:textId="172F9117"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897141A" w14:textId="63D89B6D" w:rsidR="008C5EDB" w:rsidRPr="00EF7CF9" w:rsidRDefault="00AC48A7" w:rsidP="00F01ED6">
      <w:pPr>
        <w:pStyle w:val="ProductList-Body"/>
      </w:pPr>
      <w:r>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2F7332C" w14:textId="77777777" w:rsidR="000C4CD3" w:rsidRDefault="000C4CD3" w:rsidP="00F01ED6">
      <w:pPr>
        <w:pStyle w:val="ProductList-Body"/>
        <w:rPr>
          <w:b/>
          <w:color w:val="00188F"/>
        </w:rPr>
      </w:pPr>
    </w:p>
    <w:p w14:paraId="3C328F82" w14:textId="41AADD43"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0B4CBEDE"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C86427">
        <w:tc>
          <w:tcPr>
            <w:tcW w:w="5400" w:type="dxa"/>
          </w:tcPr>
          <w:p w14:paraId="182FD6E2" w14:textId="21EC2136" w:rsidR="008C5EDB" w:rsidRPr="00EF7CF9" w:rsidRDefault="008C5EDB" w:rsidP="00F01ED6">
            <w:pPr>
              <w:pStyle w:val="ProductList-OfferingBody"/>
              <w:jc w:val="center"/>
            </w:pPr>
            <w:r>
              <w:t>&lt; 99,9%</w:t>
            </w:r>
          </w:p>
        </w:tc>
        <w:tc>
          <w:tcPr>
            <w:tcW w:w="5400" w:type="dxa"/>
          </w:tcPr>
          <w:p w14:paraId="7E536980" w14:textId="77777777" w:rsidR="008C5EDB" w:rsidRPr="00EF7CF9" w:rsidRDefault="008C5EDB" w:rsidP="00F01ED6">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F01ED6">
            <w:pPr>
              <w:pStyle w:val="ProductList-OfferingBody"/>
              <w:jc w:val="center"/>
            </w:pPr>
            <w:r>
              <w:t>&lt; 99%</w:t>
            </w:r>
          </w:p>
        </w:tc>
        <w:tc>
          <w:tcPr>
            <w:tcW w:w="5400" w:type="dxa"/>
          </w:tcPr>
          <w:p w14:paraId="6019CFA5" w14:textId="77777777" w:rsidR="008C5EDB" w:rsidRPr="00EF7CF9" w:rsidRDefault="008C5EDB" w:rsidP="00F01ED6">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F01ED6">
            <w:pPr>
              <w:pStyle w:val="ProductList-OfferingBody"/>
              <w:jc w:val="center"/>
            </w:pPr>
            <w:r>
              <w:t>&lt; 95%</w:t>
            </w:r>
          </w:p>
        </w:tc>
        <w:tc>
          <w:tcPr>
            <w:tcW w:w="5400" w:type="dxa"/>
          </w:tcPr>
          <w:p w14:paraId="548DC324" w14:textId="77777777" w:rsidR="008C5EDB" w:rsidRPr="00EF7CF9" w:rsidRDefault="008C5EDB" w:rsidP="00F01ED6">
            <w:pPr>
              <w:pStyle w:val="ProductList-OfferingBody"/>
              <w:jc w:val="center"/>
            </w:pPr>
            <w:r>
              <w:t>100%</w:t>
            </w:r>
          </w:p>
        </w:tc>
      </w:tr>
    </w:tbl>
    <w:p w14:paraId="2F97468D" w14:textId="77777777" w:rsidR="008C5EDB" w:rsidRPr="00EF7CF9" w:rsidRDefault="008C5EDB" w:rsidP="00F01ED6">
      <w:pPr>
        <w:pStyle w:val="ProductList-Body"/>
        <w:tabs>
          <w:tab w:val="clear" w:pos="360"/>
          <w:tab w:val="clear" w:pos="720"/>
          <w:tab w:val="clear" w:pos="1080"/>
        </w:tabs>
      </w:pPr>
    </w:p>
    <w:p w14:paraId="597A6C6F" w14:textId="7CA5BD00" w:rsidR="008C5EDB" w:rsidRPr="00EF7CF9" w:rsidRDefault="008C5EDB" w:rsidP="00F01ED6">
      <w:pPr>
        <w:pStyle w:val="ProductList-Body"/>
      </w:pPr>
      <w:r>
        <w:rPr>
          <w:b/>
          <w:color w:val="00188F"/>
        </w:rPr>
        <w:t>Exceções de Nível de Serviço</w:t>
      </w:r>
      <w:r w:rsidRPr="00473DD3">
        <w:rPr>
          <w:b/>
          <w:color w:val="00188F"/>
        </w:rPr>
        <w:t>:</w:t>
      </w:r>
      <w:r>
        <w:t xml:space="preserve"> Este SLA não é aplicável ao Enterprise CAL suite comprado através dos contratos de licenciamento em volume Open Value e Open Value Subscription.</w:t>
      </w:r>
    </w:p>
    <w:bookmarkStart w:id="73" w:name="_Toc457821515"/>
    <w:p w14:paraId="07CF7D8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34F2BB32" w14:textId="123C632E" w:rsidR="008C5EDB" w:rsidRPr="00EF7CF9" w:rsidRDefault="008C5EDB" w:rsidP="00D86CF6">
      <w:pPr>
        <w:pStyle w:val="ProductList-Offering2Heading"/>
        <w:outlineLvl w:val="2"/>
      </w:pPr>
      <w:bookmarkStart w:id="74" w:name="_Toc214456740"/>
      <w:r>
        <w:t>Proteção do Exchange Online</w:t>
      </w:r>
      <w:bookmarkEnd w:id="73"/>
      <w:bookmarkEnd w:id="74"/>
    </w:p>
    <w:p w14:paraId="63F75F40" w14:textId="77777777" w:rsidR="00566946" w:rsidRPr="00F44E97" w:rsidRDefault="00566946" w:rsidP="00566946">
      <w:pPr>
        <w:pStyle w:val="ProductList-Body"/>
        <w:rPr>
          <w:rFonts w:ascii="Calibri" w:hAnsi="Calibri" w:cs="Calibri"/>
        </w:rPr>
      </w:pPr>
      <w:bookmarkStart w:id="75" w:name="_Toc526859624"/>
      <w:bookmarkStart w:id="76" w:name="_Toc457821516"/>
      <w:r>
        <w:rPr>
          <w:rFonts w:ascii="Calibri" w:hAnsi="Calibri" w:cs="Calibri"/>
          <w:b/>
          <w:color w:val="00188F"/>
        </w:rPr>
        <w:t>Período de Indisponibilidade</w:t>
      </w:r>
      <w:r>
        <w:rPr>
          <w:rFonts w:ascii="Calibri" w:hAnsi="Calibri" w:cs="Calibri"/>
        </w:rPr>
        <w:t>: Qualquer período de tempo em que o Microsoft 365 não consegue aceitar ou enviar mensagens de e-mail devido a um problema no limite do Microsoft 365. Não existe um Período de Indisponibilidade Agendado para este serviço.</w:t>
      </w:r>
    </w:p>
    <w:p w14:paraId="240DFB0F" w14:textId="77777777" w:rsidR="00566946" w:rsidRDefault="00566946" w:rsidP="00566946">
      <w:pPr>
        <w:pStyle w:val="ProductList-Body"/>
      </w:pPr>
    </w:p>
    <w:p w14:paraId="47653C00" w14:textId="77777777" w:rsidR="00566946" w:rsidRPr="005F70A3" w:rsidRDefault="00566946" w:rsidP="00566946">
      <w:pPr>
        <w:pStyle w:val="ProductList-Body"/>
        <w:rPr>
          <w:rFonts w:ascii="Calibri" w:hAnsi="Calibri" w:cs="Calibri"/>
          <w:bCs/>
        </w:rPr>
      </w:pPr>
      <w:r>
        <w:rPr>
          <w:rFonts w:ascii="Calibri" w:hAnsi="Calibri" w:cs="Calibri"/>
          <w:bCs/>
        </w:rPr>
        <w:t>A Disponibilidade da Proteção do Exchange Online divide-se em duas categorias:</w:t>
      </w:r>
    </w:p>
    <w:p w14:paraId="11BBA5C4" w14:textId="77777777" w:rsidR="00566946" w:rsidRPr="00F44E97" w:rsidRDefault="00566946" w:rsidP="00566946">
      <w:pPr>
        <w:pStyle w:val="ProductList-Body"/>
        <w:numPr>
          <w:ilvl w:val="0"/>
          <w:numId w:val="49"/>
        </w:numPr>
        <w:rPr>
          <w:rFonts w:ascii="Calibri" w:hAnsi="Calibri" w:cs="Calibri"/>
        </w:rPr>
      </w:pPr>
      <w:r>
        <w:rPr>
          <w:rFonts w:ascii="Calibri" w:hAnsi="Calibri" w:cs="Calibri"/>
        </w:rPr>
        <w:t>Rejeições permanentes devido a problemas com o Microsoft 365.</w:t>
      </w:r>
    </w:p>
    <w:p w14:paraId="66D31AE8" w14:textId="77777777" w:rsidR="00566946" w:rsidRPr="00F44E97" w:rsidRDefault="00566946" w:rsidP="00566946">
      <w:pPr>
        <w:pStyle w:val="ProductList-Body"/>
        <w:numPr>
          <w:ilvl w:val="0"/>
          <w:numId w:val="49"/>
        </w:numPr>
        <w:rPr>
          <w:rFonts w:ascii="Calibri" w:hAnsi="Calibri" w:cs="Calibri"/>
        </w:rPr>
      </w:pPr>
      <w:r>
        <w:rPr>
          <w:rFonts w:ascii="Calibri" w:hAnsi="Calibri" w:cs="Calibri"/>
        </w:rPr>
        <w:t>Rejeições transitórias devido a problemas com o Microsoft 365.</w:t>
      </w:r>
    </w:p>
    <w:p w14:paraId="4BBC13CB" w14:textId="77777777" w:rsidR="00566946" w:rsidRPr="00EF7CF9" w:rsidRDefault="00566946" w:rsidP="00566946">
      <w:pPr>
        <w:pStyle w:val="ProductList-Body"/>
      </w:pPr>
    </w:p>
    <w:p w14:paraId="0950209A" w14:textId="77777777" w:rsidR="00566946" w:rsidRDefault="00566946" w:rsidP="00566946">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xml:space="preserve">: </w:t>
      </w:r>
    </w:p>
    <w:p w14:paraId="61FF5CDB" w14:textId="77777777" w:rsidR="00566946" w:rsidRDefault="00566946" w:rsidP="00566946">
      <w:pPr>
        <w:pStyle w:val="ProductList-Body"/>
        <w:numPr>
          <w:ilvl w:val="0"/>
          <w:numId w:val="51"/>
        </w:numPr>
        <w:spacing w:after="120"/>
        <w:rPr>
          <w:rFonts w:ascii="Calibri" w:hAnsi="Calibri" w:cs="Calibri"/>
        </w:rPr>
      </w:pPr>
      <w:r>
        <w:rPr>
          <w:rFonts w:ascii="Calibri" w:hAnsi="Calibri" w:cs="Calibri"/>
        </w:rPr>
        <w:t xml:space="preserve">Rejeições permanentes devido a problemas com o Microsoft 365. </w:t>
      </w:r>
    </w:p>
    <w:p w14:paraId="1C9A1E25" w14:textId="77777777" w:rsidR="00566946" w:rsidRPr="00F44E97" w:rsidRDefault="00566946" w:rsidP="00566946">
      <w:pPr>
        <w:pStyle w:val="ProductList-Body"/>
        <w:rPr>
          <w:rFonts w:ascii="Calibri" w:hAnsi="Calibri" w:cs="Calibri"/>
        </w:rPr>
      </w:pPr>
      <w:r>
        <w:rPr>
          <w:rFonts w:ascii="Calibri" w:hAnsi="Calibri" w:cs="Calibri"/>
        </w:rPr>
        <w:t>A Percentagem de Período de Disponibilidade é calculada através da seguinte fórmula:</w:t>
      </w:r>
    </w:p>
    <w:p w14:paraId="45F2741F" w14:textId="77777777" w:rsidR="00566946" w:rsidRPr="002270F1" w:rsidRDefault="00000000" w:rsidP="00566946">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num mês - Período de Indisponibilidade </m:t>
              </m:r>
            </m:num>
            <m:den>
              <m:r>
                <w:rPr>
                  <w:rFonts w:ascii="Cambria Math" w:hAnsi="Cambria Math" w:cs="Calibri"/>
                  <w:sz w:val="18"/>
                  <w:szCs w:val="18"/>
                </w:rPr>
                <m:t>Total de minutos num mês</m:t>
              </m:r>
            </m:den>
          </m:f>
          <m:r>
            <w:rPr>
              <w:rFonts w:ascii="Cambria Math" w:hAnsi="Cambria Math" w:cs="Calibri"/>
              <w:sz w:val="18"/>
              <w:szCs w:val="18"/>
            </w:rPr>
            <m:t xml:space="preserve"> x 100</m:t>
          </m:r>
        </m:oMath>
      </m:oMathPara>
    </w:p>
    <w:p w14:paraId="7DD72A2D" w14:textId="77777777" w:rsidR="00566946" w:rsidRPr="00F44E97" w:rsidRDefault="00566946" w:rsidP="00566946">
      <w:pPr>
        <w:pStyle w:val="ProductList-Body"/>
        <w:rPr>
          <w:rFonts w:ascii="Calibri" w:hAnsi="Calibri" w:cs="Calibri"/>
        </w:rPr>
      </w:pPr>
      <w:r>
        <w:rPr>
          <w:rFonts w:ascii="Calibri" w:hAnsi="Calibri" w:cs="Calibri"/>
        </w:rPr>
        <w:t xml:space="preserve">em que o Período de Indisponibilidade é a duração do problema (em minutos) multiplicada pela fração do serviço que não está disponível, somada ao longo do mês do calendário. </w:t>
      </w:r>
    </w:p>
    <w:p w14:paraId="427A0C04" w14:textId="77777777" w:rsidR="00566946" w:rsidRPr="00F44E97" w:rsidRDefault="00566946" w:rsidP="00566946">
      <w:pPr>
        <w:pStyle w:val="ProductList-Body"/>
        <w:rPr>
          <w:rFonts w:ascii="Calibri" w:hAnsi="Calibri" w:cs="Calibri"/>
        </w:rPr>
      </w:pPr>
    </w:p>
    <w:p w14:paraId="5F2BCAA5" w14:textId="77777777" w:rsidR="00566946" w:rsidRDefault="00566946" w:rsidP="00566946">
      <w:pPr>
        <w:pStyle w:val="ProductList-Body"/>
        <w:numPr>
          <w:ilvl w:val="0"/>
          <w:numId w:val="51"/>
        </w:numPr>
        <w:spacing w:after="120"/>
        <w:rPr>
          <w:rFonts w:ascii="Calibri" w:hAnsi="Calibri" w:cs="Calibri"/>
        </w:rPr>
      </w:pPr>
      <w:r>
        <w:rPr>
          <w:rFonts w:ascii="Calibri" w:hAnsi="Calibri" w:cs="Calibri"/>
        </w:rPr>
        <w:t>Rejeições transitórias devido a problemas com o Microsoft 365</w:t>
      </w:r>
    </w:p>
    <w:p w14:paraId="2E0A09F0" w14:textId="77777777" w:rsidR="00566946" w:rsidRDefault="00566946" w:rsidP="00566946">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xml:space="preserve">: </w:t>
      </w:r>
    </w:p>
    <w:p w14:paraId="522C088A" w14:textId="77777777" w:rsidR="00566946" w:rsidRPr="00EF7CF9" w:rsidRDefault="00000000" w:rsidP="0056694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mensagens do mês - Mensagens Afetadas </m:t>
              </m:r>
            </m:num>
            <m:den>
              <m:r>
                <w:rPr>
                  <w:rFonts w:ascii="Cambria Math" w:hAnsi="Cambria Math" w:cs="Calibri"/>
                  <w:sz w:val="18"/>
                  <w:szCs w:val="18"/>
                </w:rPr>
                <m:t>Total de mensagens do mês</m:t>
              </m:r>
            </m:den>
          </m:f>
          <m:r>
            <w:rPr>
              <w:rFonts w:ascii="Cambria Math" w:hAnsi="Cambria Math" w:cs="Calibri"/>
              <w:sz w:val="18"/>
              <w:szCs w:val="18"/>
            </w:rPr>
            <m:t xml:space="preserve"> x 100</m:t>
          </m:r>
        </m:oMath>
      </m:oMathPara>
    </w:p>
    <w:p w14:paraId="7E50737D" w14:textId="77777777" w:rsidR="00566946" w:rsidRPr="00FF1ABA" w:rsidRDefault="00566946" w:rsidP="00566946">
      <w:pPr>
        <w:pStyle w:val="ProductList-Body"/>
        <w:rPr>
          <w:rFonts w:ascii="Calibri" w:hAnsi="Calibri" w:cs="Calibri"/>
        </w:rPr>
      </w:pPr>
      <w:r>
        <w:rPr>
          <w:rFonts w:ascii="Calibri" w:hAnsi="Calibri" w:cs="Calibri"/>
        </w:rPr>
        <w:t>As mensagens afetadas são definidas como mensagens com um atraso superior a (10) minutos durante o problema, somadas ao longo do mês do calendário.</w:t>
      </w:r>
    </w:p>
    <w:p w14:paraId="6F6B8F0C" w14:textId="77777777" w:rsidR="00566946" w:rsidRPr="00EF7CF9" w:rsidRDefault="00566946" w:rsidP="00566946">
      <w:pPr>
        <w:pStyle w:val="ProductList-Body"/>
      </w:pPr>
    </w:p>
    <w:p w14:paraId="0C5BBD51" w14:textId="77777777" w:rsidR="00566946" w:rsidRPr="00F44E97" w:rsidRDefault="00566946" w:rsidP="00566946">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6946" w14:paraId="70A57D38" w14:textId="77777777" w:rsidTr="00C33532">
        <w:trPr>
          <w:tblHeader/>
        </w:trPr>
        <w:tc>
          <w:tcPr>
            <w:tcW w:w="5400" w:type="dxa"/>
            <w:shd w:val="clear" w:color="auto" w:fill="0072C6"/>
          </w:tcPr>
          <w:p w14:paraId="367A8CF1" w14:textId="77777777" w:rsidR="00566946" w:rsidRPr="00FF1ABA" w:rsidRDefault="00566946"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167DBC17" w14:textId="77777777" w:rsidR="00566946" w:rsidRPr="00FF1ABA" w:rsidRDefault="00566946"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66946" w14:paraId="0E3B3B53" w14:textId="77777777" w:rsidTr="00C33532">
        <w:tc>
          <w:tcPr>
            <w:tcW w:w="5400" w:type="dxa"/>
          </w:tcPr>
          <w:p w14:paraId="17C1B665"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&lt; 99,9%</w:t>
            </w:r>
          </w:p>
        </w:tc>
        <w:tc>
          <w:tcPr>
            <w:tcW w:w="5400" w:type="dxa"/>
          </w:tcPr>
          <w:p w14:paraId="7D7F0DA4"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25%</w:t>
            </w:r>
          </w:p>
        </w:tc>
      </w:tr>
      <w:tr w:rsidR="00566946" w14:paraId="7641D00A" w14:textId="77777777" w:rsidTr="00C33532">
        <w:tc>
          <w:tcPr>
            <w:tcW w:w="5400" w:type="dxa"/>
          </w:tcPr>
          <w:p w14:paraId="115FA49D"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&lt; 99%</w:t>
            </w:r>
          </w:p>
        </w:tc>
        <w:tc>
          <w:tcPr>
            <w:tcW w:w="5400" w:type="dxa"/>
          </w:tcPr>
          <w:p w14:paraId="1D3ADD20"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50%</w:t>
            </w:r>
          </w:p>
        </w:tc>
      </w:tr>
      <w:tr w:rsidR="00566946" w14:paraId="0CD1A99B" w14:textId="77777777" w:rsidTr="00C33532">
        <w:tc>
          <w:tcPr>
            <w:tcW w:w="5400" w:type="dxa"/>
          </w:tcPr>
          <w:p w14:paraId="55D71168"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&lt; 95%</w:t>
            </w:r>
          </w:p>
        </w:tc>
        <w:tc>
          <w:tcPr>
            <w:tcW w:w="5400" w:type="dxa"/>
          </w:tcPr>
          <w:p w14:paraId="36C3B3B3"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100%</w:t>
            </w:r>
          </w:p>
        </w:tc>
      </w:tr>
    </w:tbl>
    <w:p w14:paraId="62644F09" w14:textId="77777777" w:rsidR="00566946" w:rsidRPr="00FF1ABA" w:rsidRDefault="00566946" w:rsidP="00566946">
      <w:pPr>
        <w:pStyle w:val="ProductList-Body"/>
        <w:spacing w:before="120"/>
        <w:rPr>
          <w:rFonts w:ascii="Calibri" w:hAnsi="Calibri" w:cs="Calibri"/>
        </w:rPr>
      </w:pPr>
      <w:r>
        <w:rPr>
          <w:rFonts w:ascii="Calibri" w:hAnsi="Calibri" w:cs="Calibri"/>
        </w:rPr>
        <w:t xml:space="preserve">A Proteção do Exchange Online aplica-se apenas ao e-mail comercial legítimo entregue ou enviado por contas de e-mail licenciadas do Microsoft 365 válidas. Esta disposição não se aplica aos seguintes casos: </w:t>
      </w:r>
    </w:p>
    <w:p w14:paraId="3D390128"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Envios de e-mail em massa induzidos pelo cliente</w:t>
      </w:r>
    </w:p>
    <w:p w14:paraId="4EEE4328"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E-mail em massa (mailers de clientes, newsletters, etc.)</w:t>
      </w:r>
    </w:p>
    <w:p w14:paraId="25933764"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Entrega de e-mail para um arquivo</w:t>
      </w:r>
    </w:p>
    <w:p w14:paraId="1BC0B359"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Ataques Denial of Service (DoS)</w:t>
      </w:r>
    </w:p>
    <w:p w14:paraId="4AAD23C4"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Configuração incorreta do Inquilino do Microsoft 365</w:t>
      </w:r>
    </w:p>
    <w:p w14:paraId="6F41E626"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Atrasos do e-mail em que o modo de falha está dentro do limite no local dos clientes e/ou dos fornecedores de serviços terceiros.</w:t>
      </w:r>
    </w:p>
    <w:p w14:paraId="4E2738BD"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Latência de rede entre o Microsoft 365 e os clientes de e-mail de utilizador final</w:t>
      </w:r>
    </w:p>
    <w:p w14:paraId="51B88B18"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E-mail que está limitado pelo Microsoft 365 para proteger o funcionamento do serviço ou porque um inquilino excedeu os limites definidos de envio e/ou receção de mensagens.</w:t>
      </w:r>
    </w:p>
    <w:p w14:paraId="2FBCE8CB"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Mensagens às quais o Microsoft 365 retira prioridade para proteger a integridade geral do serviço (por exemplo: mensagens grandes, mensagens enviadas para um grande número de destinatários ou listas de distribuição que contenham um número de destinatários considerável)</w:t>
      </w:r>
    </w:p>
    <w:p w14:paraId="7D3B7BC0"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lastRenderedPageBreak/>
        <w:t>Mensagens atrasadas devido a regras e políticas configuradas por clientes dispendiosos</w:t>
      </w:r>
    </w:p>
    <w:p w14:paraId="6E0763F1" w14:textId="77777777" w:rsidR="00566946" w:rsidRPr="00EF7CF9" w:rsidRDefault="00566946" w:rsidP="00566946">
      <w:pPr>
        <w:pStyle w:val="ProductList-Body"/>
      </w:pPr>
    </w:p>
    <w:p w14:paraId="2C9203AC" w14:textId="77777777" w:rsidR="00566946" w:rsidRPr="00F44E97" w:rsidRDefault="00566946" w:rsidP="00566946">
      <w:pPr>
        <w:rPr>
          <w:rFonts w:ascii="Calibri" w:hAnsi="Calibri" w:cs="Calibri"/>
          <w:sz w:val="18"/>
        </w:rPr>
      </w:pPr>
      <w:r>
        <w:rPr>
          <w:rFonts w:ascii="Calibri" w:hAnsi="Calibri" w:cs="Calibri"/>
          <w:b/>
          <w:color w:val="00188F"/>
          <w:sz w:val="18"/>
        </w:rPr>
        <w:t>Termos Adicionais:</w:t>
      </w:r>
      <w:r>
        <w:rPr>
          <w:rFonts w:ascii="Calibri" w:hAnsi="Calibri" w:cs="Calibri"/>
          <w:sz w:val="18"/>
        </w:rPr>
        <w:t xml:space="preserve"> Consulte (i) o Apêndice 1 – Compromisso de Nível de Serviço para Deteção e Bloqueio de Vírus, Eficácia do Spam ou Falso Positivo.</w:t>
      </w:r>
    </w:p>
    <w:p w14:paraId="467B6AAC"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4DBC3626" w14:textId="77777777" w:rsidR="00F601F4" w:rsidRDefault="00F601F4" w:rsidP="00F01ED6">
      <w:pPr>
        <w:pStyle w:val="ProductList-Offering2Heading"/>
        <w:outlineLvl w:val="2"/>
      </w:pPr>
      <w:bookmarkStart w:id="77" w:name="_Toc214456741"/>
      <w:r>
        <w:t>Microsoft MyAnalytics</w:t>
      </w:r>
      <w:bookmarkEnd w:id="75"/>
      <w:bookmarkEnd w:id="77"/>
    </w:p>
    <w:p w14:paraId="48761BDB" w14:textId="77777777" w:rsidR="00F601F4" w:rsidRPr="00C27DCF" w:rsidRDefault="00F601F4" w:rsidP="00F01ED6">
      <w:pPr>
        <w:pStyle w:val="ProductList-Body"/>
        <w:rPr>
          <w:i/>
        </w:rPr>
      </w:pPr>
      <w:r>
        <w:rPr>
          <w:b/>
          <w:color w:val="00188F"/>
        </w:rPr>
        <w:t>Período de Indisponibilidade</w:t>
      </w:r>
      <w:r w:rsidRPr="00473DD3">
        <w:rPr>
          <w:b/>
          <w:color w:val="00188F"/>
        </w:rPr>
        <w:t>:</w:t>
      </w:r>
      <w:r>
        <w:t xml:space="preserve"> </w:t>
      </w:r>
      <w:r>
        <w:rPr>
          <w:iCs/>
        </w:rPr>
        <w:t>Qualquer período de tempo em que os utilizadores não conseguem aceder ao dashboard do MyAnalytics</w:t>
      </w:r>
      <w:r>
        <w:rPr>
          <w:i/>
        </w:rPr>
        <w:t>.</w:t>
      </w:r>
    </w:p>
    <w:p w14:paraId="0529F6AA" w14:textId="36F9EF92" w:rsidR="00D64CD1"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BF78BEA" w14:textId="77777777" w:rsidR="001A6663" w:rsidRPr="00EF7CF9" w:rsidRDefault="001A6663" w:rsidP="00F01ED6">
      <w:pPr>
        <w:pStyle w:val="ProductList-Body"/>
      </w:pPr>
    </w:p>
    <w:p w14:paraId="32BFAAAA" w14:textId="7A4E025A" w:rsidR="00D64CD1"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E02FED1" w14:textId="1FB8BB2C" w:rsidR="00D64CD1"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3F68791" w14:textId="77777777" w:rsidR="00D64CD1" w:rsidRPr="00EF7CF9" w:rsidRDefault="00D64CD1" w:rsidP="00F01ED6">
      <w:pPr>
        <w:pStyle w:val="ProductList-Body"/>
      </w:pPr>
    </w:p>
    <w:p w14:paraId="33BBB864" w14:textId="77777777" w:rsidR="00D64CD1" w:rsidRPr="00EF7CF9" w:rsidRDefault="00D64CD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B69338" w14:textId="77777777" w:rsidR="00D64CD1" w:rsidRPr="00EF7CF9" w:rsidRDefault="00D64CD1" w:rsidP="00F01ED6">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C626F4">
        <w:tc>
          <w:tcPr>
            <w:tcW w:w="5400" w:type="dxa"/>
          </w:tcPr>
          <w:p w14:paraId="04C6F3F9" w14:textId="77777777" w:rsidR="00D64CD1" w:rsidRPr="00EF7CF9" w:rsidRDefault="00D64CD1" w:rsidP="00F01ED6">
            <w:pPr>
              <w:pStyle w:val="ProductList-OfferingBody"/>
              <w:jc w:val="center"/>
            </w:pPr>
            <w:r>
              <w:t>&lt; 99,9%</w:t>
            </w:r>
          </w:p>
        </w:tc>
        <w:tc>
          <w:tcPr>
            <w:tcW w:w="5400" w:type="dxa"/>
          </w:tcPr>
          <w:p w14:paraId="5F8A5725" w14:textId="77777777" w:rsidR="00D64CD1" w:rsidRPr="00EF7CF9" w:rsidRDefault="00D64CD1" w:rsidP="00F01ED6">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F01ED6">
            <w:pPr>
              <w:pStyle w:val="ProductList-OfferingBody"/>
              <w:jc w:val="center"/>
            </w:pPr>
            <w:r>
              <w:t>&lt; 99%</w:t>
            </w:r>
          </w:p>
        </w:tc>
        <w:tc>
          <w:tcPr>
            <w:tcW w:w="5400" w:type="dxa"/>
          </w:tcPr>
          <w:p w14:paraId="4EFF7B52" w14:textId="77777777" w:rsidR="00D64CD1" w:rsidRPr="00EF7CF9" w:rsidRDefault="00D64CD1" w:rsidP="00F01ED6">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F01ED6">
            <w:pPr>
              <w:pStyle w:val="ProductList-OfferingBody"/>
              <w:jc w:val="center"/>
            </w:pPr>
            <w:r>
              <w:t>&lt; 95%</w:t>
            </w:r>
          </w:p>
        </w:tc>
        <w:tc>
          <w:tcPr>
            <w:tcW w:w="5400" w:type="dxa"/>
          </w:tcPr>
          <w:p w14:paraId="1D97E2C4" w14:textId="77777777" w:rsidR="00D64CD1" w:rsidRPr="00EF7CF9" w:rsidRDefault="00D64CD1" w:rsidP="00F01ED6">
            <w:pPr>
              <w:pStyle w:val="ProductList-OfferingBody"/>
              <w:keepNext/>
              <w:jc w:val="center"/>
            </w:pPr>
            <w:r>
              <w:t>100%</w:t>
            </w:r>
          </w:p>
        </w:tc>
      </w:tr>
    </w:tbl>
    <w:bookmarkStart w:id="78" w:name="Stream"/>
    <w:bookmarkStart w:id="79" w:name="_Toc526859625"/>
    <w:p w14:paraId="5C811F51"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403EA1" w14:textId="342D227E" w:rsidR="00DD02FA" w:rsidRPr="00EF7CF9" w:rsidRDefault="00DD02FA" w:rsidP="00F01ED6">
      <w:pPr>
        <w:pStyle w:val="ProductList-Offering2Heading"/>
        <w:outlineLvl w:val="2"/>
      </w:pPr>
      <w:bookmarkStart w:id="80" w:name="_Toc214456742"/>
      <w:r>
        <w:t>Microsoft Stream (Clássico)</w:t>
      </w:r>
      <w:bookmarkEnd w:id="80"/>
    </w:p>
    <w:bookmarkEnd w:id="78"/>
    <w:p w14:paraId="42AF82E0" w14:textId="58E4B74E" w:rsidR="00DD02FA" w:rsidRPr="00EF7CF9" w:rsidRDefault="00DD02FA"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reproduzir, eliminar vídeos ou</w:t>
      </w:r>
      <w:r w:rsidR="004D0F25">
        <w:rPr>
          <w:szCs w:val="18"/>
        </w:rPr>
        <w:t> </w:t>
      </w:r>
      <w:r>
        <w:rPr>
          <w:szCs w:val="18"/>
        </w:rPr>
        <w:t>editar metadados de vídeos quando têm as permissões adequadas e o conteúdo é válido, excluindo os cenários não suportados</w:t>
      </w:r>
      <w:r>
        <w:rPr>
          <w:szCs w:val="18"/>
          <w:vertAlign w:val="superscript"/>
        </w:rPr>
        <w:t>1</w:t>
      </w:r>
      <w:r>
        <w:rPr>
          <w:szCs w:val="18"/>
        </w:rPr>
        <w:t>.</w:t>
      </w:r>
    </w:p>
    <w:p w14:paraId="4B64631C" w14:textId="7B94C70D" w:rsidR="00DD02FA" w:rsidRPr="00EF7CF9" w:rsidRDefault="00AC48A7" w:rsidP="00173870">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3B0422" w14:textId="77777777" w:rsidR="00DD02FA" w:rsidRPr="00EF7CF9" w:rsidRDefault="00DD02FA" w:rsidP="00F01ED6">
      <w:pPr>
        <w:pStyle w:val="ProductList-Body"/>
      </w:pPr>
    </w:p>
    <w:p w14:paraId="241A79D3" w14:textId="3FB251CA" w:rsidR="00DD02FA"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6C05597" w14:textId="7CBEBC04" w:rsidR="00DD02FA" w:rsidRPr="00EF7CF9" w:rsidRDefault="00AC48A7" w:rsidP="00F01ED6">
      <w:pPr>
        <w:pStyle w:val="ProductList-Body"/>
        <w:ind w:right="171"/>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BA055B3" w14:textId="77777777" w:rsidR="00DD02FA" w:rsidRPr="00EF7CF9" w:rsidRDefault="00DD02FA" w:rsidP="00F01ED6">
      <w:pPr>
        <w:pStyle w:val="ProductList-Body"/>
      </w:pPr>
    </w:p>
    <w:p w14:paraId="110497AF" w14:textId="77777777" w:rsidR="00DD02FA" w:rsidRPr="00EF7CF9" w:rsidRDefault="00DD02FA" w:rsidP="00F01ED6">
      <w:pPr>
        <w:pStyle w:val="ProductList-Body"/>
      </w:pPr>
      <w:r>
        <w:rPr>
          <w:b/>
          <w:color w:val="00188F"/>
        </w:rPr>
        <w:t>Compromisso de Nível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00" w:type="pct"/>
            <w:shd w:val="clear" w:color="auto" w:fill="0072C6"/>
          </w:tcPr>
          <w:p w14:paraId="2BCF05DB" w14:textId="77777777" w:rsidR="00DD02FA" w:rsidRPr="00EF7CF9" w:rsidRDefault="00DD02FA" w:rsidP="00F01ED6">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EA5FB1">
        <w:tc>
          <w:tcPr>
            <w:tcW w:w="2500" w:type="pct"/>
          </w:tcPr>
          <w:p w14:paraId="392EA847" w14:textId="77777777" w:rsidR="00DD02FA" w:rsidRPr="00EF7CF9" w:rsidRDefault="00DD02FA" w:rsidP="00F01ED6">
            <w:pPr>
              <w:pStyle w:val="ProductList-OfferingBody"/>
              <w:jc w:val="center"/>
            </w:pPr>
            <w:r>
              <w:t>&lt; 99,9%</w:t>
            </w:r>
          </w:p>
        </w:tc>
        <w:tc>
          <w:tcPr>
            <w:tcW w:w="2500" w:type="pct"/>
          </w:tcPr>
          <w:p w14:paraId="4DFA9045" w14:textId="77777777" w:rsidR="00DD02FA" w:rsidRPr="00EF7CF9" w:rsidRDefault="00DD02FA" w:rsidP="00F01ED6">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F01ED6">
            <w:pPr>
              <w:pStyle w:val="ProductList-OfferingBody"/>
              <w:jc w:val="center"/>
            </w:pPr>
            <w:r>
              <w:t>&lt; 99%</w:t>
            </w:r>
          </w:p>
        </w:tc>
        <w:tc>
          <w:tcPr>
            <w:tcW w:w="2500" w:type="pct"/>
          </w:tcPr>
          <w:p w14:paraId="2552E48F" w14:textId="77777777" w:rsidR="00DD02FA" w:rsidRPr="00EF7CF9" w:rsidRDefault="00DD02FA" w:rsidP="00F01ED6">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F01ED6">
            <w:pPr>
              <w:pStyle w:val="ProductList-OfferingBody"/>
              <w:jc w:val="center"/>
            </w:pPr>
            <w:r>
              <w:t>&lt; 95%</w:t>
            </w:r>
          </w:p>
        </w:tc>
        <w:tc>
          <w:tcPr>
            <w:tcW w:w="2500" w:type="pct"/>
          </w:tcPr>
          <w:p w14:paraId="208A4B00" w14:textId="77777777" w:rsidR="00DD02FA" w:rsidRPr="00EF7CF9" w:rsidRDefault="00DD02FA" w:rsidP="00F01ED6">
            <w:pPr>
              <w:pStyle w:val="ProductList-OfferingBody"/>
              <w:jc w:val="center"/>
            </w:pPr>
            <w:r>
              <w:t>100%</w:t>
            </w:r>
          </w:p>
        </w:tc>
      </w:tr>
    </w:tbl>
    <w:p w14:paraId="6E2B305C" w14:textId="635977F9" w:rsidR="00DD02FA" w:rsidRPr="00EF7CF9" w:rsidRDefault="00DD02FA" w:rsidP="00F01ED6">
      <w:pPr>
        <w:pStyle w:val="ProductList-Body"/>
      </w:pPr>
    </w:p>
    <w:p w14:paraId="09EB1F1A" w14:textId="69747CF9" w:rsidR="00DD02FA" w:rsidRPr="00EF7CF9" w:rsidRDefault="00DD02FA" w:rsidP="00F01ED6">
      <w:pPr>
        <w:pStyle w:val="ProductList-Body"/>
      </w:pPr>
      <w:r>
        <w:rPr>
          <w:vertAlign w:val="superscript"/>
        </w:rPr>
        <w:t>1</w:t>
      </w:r>
      <w:r w:rsidR="006F3CBD">
        <w:rPr>
          <w:vertAlign w:val="superscript"/>
        </w:rPr>
        <w:t xml:space="preserve"> </w:t>
      </w:r>
      <w:r>
        <w:t>Os cenários não suportados podem incluir a reprodução em SO/dispositivos não suportados, problemas de rede do lado do cliente e erros de</w:t>
      </w:r>
      <w:r w:rsidR="00173870">
        <w:t> </w:t>
      </w:r>
      <w:r>
        <w:t>utilizador.</w:t>
      </w:r>
    </w:p>
    <w:p w14:paraId="34EB40C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144E1BC" w14:textId="05DE6084" w:rsidR="00F601F4" w:rsidRPr="00EF7CF9" w:rsidRDefault="00F601F4" w:rsidP="00F01ED6">
      <w:pPr>
        <w:pStyle w:val="ProductList-Offering2Heading"/>
        <w:outlineLvl w:val="2"/>
      </w:pPr>
      <w:bookmarkStart w:id="81" w:name="_Toc214456743"/>
      <w:r>
        <w:t>Microsoft Teams</w:t>
      </w:r>
      <w:bookmarkEnd w:id="79"/>
      <w:bookmarkEnd w:id="81"/>
    </w:p>
    <w:p w14:paraId="5A94C708" w14:textId="04A19251" w:rsidR="00F601F4" w:rsidRPr="00C27DCF" w:rsidRDefault="00F601F4" w:rsidP="00F01ED6">
      <w:pPr>
        <w:pStyle w:val="ProductList-Body"/>
      </w:pPr>
      <w:r>
        <w:rPr>
          <w:b/>
          <w:color w:val="00188F"/>
        </w:rPr>
        <w:t>Período de Indisponibilidade</w:t>
      </w:r>
      <w:r w:rsidRPr="00473DD3">
        <w:rPr>
          <w:b/>
          <w:color w:val="00188F"/>
        </w:rPr>
        <w:t>:</w:t>
      </w:r>
      <w:r>
        <w:t xml:space="preserve"> </w:t>
      </w:r>
      <w:r w:rsidR="007E4674">
        <w:rPr>
          <w:rFonts w:ascii="Calibri" w:hAnsi="Calibri" w:cs="Calibri"/>
        </w:rPr>
        <w:t>Qualquer período durante o qual os utilizadores finais não conseguem manter conversações de mensagens instantâneas ou iniciar reuniões online</w:t>
      </w:r>
      <w:r>
        <w:t>.</w:t>
      </w:r>
      <w:r>
        <w:rPr>
          <w:vertAlign w:val="superscript"/>
        </w:rPr>
        <w:t>1</w:t>
      </w:r>
    </w:p>
    <w:p w14:paraId="6E301193" w14:textId="7D95A798" w:rsidR="00111C8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51F1AE7" w14:textId="77777777" w:rsidR="00111C8E" w:rsidRPr="00EF7CF9" w:rsidRDefault="00111C8E" w:rsidP="00F01ED6">
      <w:pPr>
        <w:pStyle w:val="ProductList-Body"/>
      </w:pPr>
    </w:p>
    <w:p w14:paraId="5557FC57" w14:textId="3F9657ED" w:rsidR="00111C8E"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B786914" w14:textId="757A361A" w:rsidR="00111C8E" w:rsidRPr="00EF7CF9" w:rsidRDefault="00AC48A7" w:rsidP="00F01ED6">
      <w:pPr>
        <w:pStyle w:val="ProductList-Body"/>
        <w:ind w:right="198"/>
      </w:pPr>
      <w:r>
        <w:lastRenderedPageBreak/>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563E514" w14:textId="77777777" w:rsidR="00111C8E" w:rsidRPr="00EF7CF9" w:rsidRDefault="00111C8E" w:rsidP="00F01ED6">
      <w:pPr>
        <w:pStyle w:val="ProductList-Body"/>
      </w:pPr>
    </w:p>
    <w:p w14:paraId="24580EAD" w14:textId="77777777" w:rsidR="00111C8E" w:rsidRPr="00EF7CF9" w:rsidRDefault="00111C8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656A668" w14:textId="77777777" w:rsidR="00111C8E" w:rsidRPr="00EF7CF9" w:rsidRDefault="00111C8E" w:rsidP="00F01ED6">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C626F4">
        <w:tc>
          <w:tcPr>
            <w:tcW w:w="5400" w:type="dxa"/>
          </w:tcPr>
          <w:p w14:paraId="2578BD40" w14:textId="77777777" w:rsidR="00111C8E" w:rsidRPr="00EF7CF9" w:rsidRDefault="00111C8E" w:rsidP="00F01ED6">
            <w:pPr>
              <w:pStyle w:val="ProductList-OfferingBody"/>
              <w:jc w:val="center"/>
            </w:pPr>
            <w:r>
              <w:t>&lt; 99,9%</w:t>
            </w:r>
          </w:p>
        </w:tc>
        <w:tc>
          <w:tcPr>
            <w:tcW w:w="5400" w:type="dxa"/>
          </w:tcPr>
          <w:p w14:paraId="2401154C" w14:textId="77777777" w:rsidR="00111C8E" w:rsidRPr="00EF7CF9" w:rsidRDefault="00111C8E" w:rsidP="00F01ED6">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F01ED6">
            <w:pPr>
              <w:pStyle w:val="ProductList-OfferingBody"/>
              <w:jc w:val="center"/>
            </w:pPr>
            <w:r>
              <w:t>&lt; 99%</w:t>
            </w:r>
          </w:p>
        </w:tc>
        <w:tc>
          <w:tcPr>
            <w:tcW w:w="5400" w:type="dxa"/>
          </w:tcPr>
          <w:p w14:paraId="2875A913" w14:textId="77777777" w:rsidR="00111C8E" w:rsidRPr="00EF7CF9" w:rsidRDefault="00111C8E" w:rsidP="00F01ED6">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F01ED6">
            <w:pPr>
              <w:pStyle w:val="ProductList-OfferingBody"/>
              <w:keepNext/>
              <w:jc w:val="center"/>
            </w:pPr>
            <w:r>
              <w:t>&lt; 95%</w:t>
            </w:r>
          </w:p>
        </w:tc>
        <w:tc>
          <w:tcPr>
            <w:tcW w:w="5400" w:type="dxa"/>
          </w:tcPr>
          <w:p w14:paraId="31E43A9C" w14:textId="77777777" w:rsidR="00111C8E" w:rsidRPr="00EF7CF9" w:rsidRDefault="00111C8E" w:rsidP="00F01ED6">
            <w:pPr>
              <w:pStyle w:val="ProductList-OfferingBody"/>
              <w:keepNext/>
              <w:jc w:val="center"/>
            </w:pPr>
            <w:r>
              <w:t>100%</w:t>
            </w:r>
          </w:p>
        </w:tc>
      </w:tr>
    </w:tbl>
    <w:p w14:paraId="4225F2AE" w14:textId="77777777" w:rsidR="00EA5FB1" w:rsidRPr="00EF7CF9" w:rsidRDefault="0097122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Pr>
            <w:rStyle w:val="Hyperlink"/>
            <w:sz w:val="16"/>
            <w:szCs w:val="16"/>
          </w:rPr>
          <w:t>Índice</w:t>
        </w:r>
      </w:hyperlink>
      <w:r>
        <w:rPr>
          <w:sz w:val="16"/>
          <w:szCs w:val="16"/>
        </w:rPr>
        <w:t xml:space="preserve"> / </w:t>
      </w:r>
      <w:hyperlink w:anchor="Definições" w:tooltip="Definições" w:history="1">
        <w:r>
          <w:rPr>
            <w:rStyle w:val="Hyperlink"/>
            <w:sz w:val="16"/>
            <w:szCs w:val="16"/>
          </w:rPr>
          <w:t>Definições</w:t>
        </w:r>
      </w:hyperlink>
    </w:p>
    <w:p w14:paraId="2C31189D" w14:textId="0488C3C2" w:rsidR="008C5EDB" w:rsidRPr="00EF7CF9" w:rsidRDefault="008E68F7" w:rsidP="00F01ED6">
      <w:pPr>
        <w:pStyle w:val="ProductList-Offering2Heading"/>
        <w:outlineLvl w:val="2"/>
      </w:pPr>
      <w:bookmarkStart w:id="82" w:name="_Hlk37926720"/>
      <w:bookmarkStart w:id="83" w:name="_Toc214456744"/>
      <w:bookmarkEnd w:id="76"/>
      <w:r>
        <w:t>Microsoft 365 Apps para Pequenas e Médias Empresas</w:t>
      </w:r>
      <w:bookmarkEnd w:id="82"/>
      <w:bookmarkEnd w:id="83"/>
    </w:p>
    <w:p w14:paraId="7289F7AE" w14:textId="59B03AB1" w:rsidR="008C5EDB" w:rsidRPr="00EF7CF9" w:rsidRDefault="008C5ED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r>
        <w:t>.</w:t>
      </w:r>
    </w:p>
    <w:p w14:paraId="53E63742" w14:textId="44FD96EE" w:rsidR="008C5ED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1E2CE05" w14:textId="77777777" w:rsidR="008C5EDB" w:rsidRPr="00EF7CF9" w:rsidRDefault="008C5EDB" w:rsidP="00F01ED6">
      <w:pPr>
        <w:pStyle w:val="ProductList-Body"/>
      </w:pPr>
    </w:p>
    <w:p w14:paraId="35067700" w14:textId="131F8435"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4100507" w14:textId="7A6B89B0" w:rsidR="008C5EDB"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59DC912" w14:textId="77777777" w:rsidR="008C5EDB" w:rsidRPr="00EF7CF9" w:rsidRDefault="008C5EDB" w:rsidP="00F01ED6">
      <w:pPr>
        <w:pStyle w:val="ProductList-Body"/>
      </w:pPr>
    </w:p>
    <w:p w14:paraId="11375DC1" w14:textId="42DEC6C3" w:rsidR="008C5EDB" w:rsidRPr="00EF7CF9" w:rsidRDefault="008C5EDB" w:rsidP="00FD4F89">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FD4F89">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71A6505D" w14:textId="77777777" w:rsidR="008C5EDB" w:rsidRPr="00EF7CF9" w:rsidRDefault="008C5EDB" w:rsidP="00FD4F89">
            <w:pPr>
              <w:pStyle w:val="ProductList-OfferingBody"/>
              <w:keepNext/>
              <w:keepLines/>
              <w:jc w:val="center"/>
              <w:rPr>
                <w:color w:val="FFFFFF" w:themeColor="background1"/>
              </w:rPr>
            </w:pPr>
            <w:r>
              <w:rPr>
                <w:color w:val="FFFFFF" w:themeColor="background1"/>
              </w:rPr>
              <w:t>Crédito de Serviço</w:t>
            </w:r>
          </w:p>
        </w:tc>
      </w:tr>
      <w:tr w:rsidR="008C5EDB" w:rsidRPr="00B44CF9" w14:paraId="7F314A2F" w14:textId="77777777" w:rsidTr="00C86427">
        <w:tc>
          <w:tcPr>
            <w:tcW w:w="5400" w:type="dxa"/>
          </w:tcPr>
          <w:p w14:paraId="27EC60BA" w14:textId="491322A6" w:rsidR="008C5EDB" w:rsidRPr="00EF7CF9" w:rsidRDefault="008C5EDB" w:rsidP="00FD4F89">
            <w:pPr>
              <w:pStyle w:val="ProductList-OfferingBody"/>
              <w:keepNext/>
              <w:keepLines/>
              <w:jc w:val="center"/>
            </w:pPr>
            <w:r>
              <w:t>&lt; 99,9%</w:t>
            </w:r>
          </w:p>
        </w:tc>
        <w:tc>
          <w:tcPr>
            <w:tcW w:w="5400" w:type="dxa"/>
          </w:tcPr>
          <w:p w14:paraId="32479524" w14:textId="77777777" w:rsidR="008C5EDB" w:rsidRPr="00EF7CF9" w:rsidRDefault="008C5EDB" w:rsidP="00FD4F89">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F01ED6">
            <w:pPr>
              <w:pStyle w:val="ProductList-OfferingBody"/>
              <w:jc w:val="center"/>
            </w:pPr>
            <w:r>
              <w:t>&lt; 99%</w:t>
            </w:r>
          </w:p>
        </w:tc>
        <w:tc>
          <w:tcPr>
            <w:tcW w:w="5400" w:type="dxa"/>
          </w:tcPr>
          <w:p w14:paraId="62FA6717" w14:textId="77777777" w:rsidR="008C5EDB" w:rsidRPr="00EF7CF9" w:rsidRDefault="008C5EDB" w:rsidP="00F01ED6">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F01ED6">
            <w:pPr>
              <w:pStyle w:val="ProductList-OfferingBody"/>
              <w:jc w:val="center"/>
            </w:pPr>
            <w:r>
              <w:t>&lt; 95%</w:t>
            </w:r>
          </w:p>
        </w:tc>
        <w:tc>
          <w:tcPr>
            <w:tcW w:w="5400" w:type="dxa"/>
          </w:tcPr>
          <w:p w14:paraId="39648AB2" w14:textId="77777777" w:rsidR="008C5EDB" w:rsidRPr="00EF7CF9" w:rsidRDefault="008C5EDB" w:rsidP="00F01ED6">
            <w:pPr>
              <w:pStyle w:val="ProductList-OfferingBody"/>
              <w:jc w:val="center"/>
            </w:pPr>
            <w:r>
              <w:t>100%</w:t>
            </w:r>
          </w:p>
        </w:tc>
      </w:tr>
    </w:tbl>
    <w:bookmarkStart w:id="84" w:name="_Hlk37926721"/>
    <w:p w14:paraId="3801752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FC93245" w14:textId="484C0EE9" w:rsidR="000C13D4" w:rsidRPr="00EF7CF9" w:rsidRDefault="008E68F7" w:rsidP="00F01ED6">
      <w:pPr>
        <w:pStyle w:val="ProductList-Offering2Heading"/>
        <w:outlineLvl w:val="2"/>
      </w:pPr>
      <w:bookmarkStart w:id="85" w:name="_Toc214456745"/>
      <w:r>
        <w:t>Microsoft 365 Apps para Grandes Empresas</w:t>
      </w:r>
      <w:bookmarkEnd w:id="84"/>
      <w:bookmarkEnd w:id="85"/>
    </w:p>
    <w:p w14:paraId="449A5D9A" w14:textId="602C4994"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p>
    <w:p w14:paraId="05221919" w14:textId="49DA841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8298982" w14:textId="77777777" w:rsidR="000C13D4" w:rsidRPr="00EF7CF9" w:rsidRDefault="000C13D4" w:rsidP="00F01ED6">
      <w:pPr>
        <w:pStyle w:val="ProductList-Body"/>
      </w:pPr>
    </w:p>
    <w:p w14:paraId="3C8D0742" w14:textId="4EE916FC"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95C5050" w14:textId="3D12691A" w:rsidR="000C13D4" w:rsidRPr="00EF7CF9" w:rsidRDefault="00AC48A7" w:rsidP="00F01ED6">
      <w:pPr>
        <w:pStyle w:val="ProductList-Body"/>
      </w:pPr>
      <w:r>
        <w:t>em que o Período de Indisponibilidade é calculado em minutos de utilizador, ou seja, para cada Período Aplicável, o Período de Indisponibilidade é</w:t>
      </w:r>
      <w:r w:rsidR="00173870">
        <w:t> </w:t>
      </w:r>
      <w:r>
        <w:t>a soma da duração (em minutos) de cada Incidente que ocorre durante o Período Aplicável multiplicada pelo número de utilizadores afetados por esse Incidente.</w:t>
      </w:r>
    </w:p>
    <w:p w14:paraId="3581BEAA" w14:textId="77777777" w:rsidR="000C13D4" w:rsidRPr="00EF7CF9" w:rsidRDefault="000C13D4" w:rsidP="00F01ED6">
      <w:pPr>
        <w:pStyle w:val="ProductList-Body"/>
      </w:pPr>
    </w:p>
    <w:p w14:paraId="4D7C630A" w14:textId="1FC61854"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76BF93B"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C86427">
        <w:tc>
          <w:tcPr>
            <w:tcW w:w="5400" w:type="dxa"/>
          </w:tcPr>
          <w:p w14:paraId="05B0041B" w14:textId="445FE07F" w:rsidR="000C13D4" w:rsidRPr="00EF7CF9" w:rsidRDefault="000C13D4" w:rsidP="00F01ED6">
            <w:pPr>
              <w:pStyle w:val="ProductList-OfferingBody"/>
              <w:jc w:val="center"/>
            </w:pPr>
            <w:r>
              <w:t>&lt; 99,9%</w:t>
            </w:r>
          </w:p>
        </w:tc>
        <w:tc>
          <w:tcPr>
            <w:tcW w:w="5400" w:type="dxa"/>
          </w:tcPr>
          <w:p w14:paraId="4C9A31DC" w14:textId="77777777" w:rsidR="000C13D4" w:rsidRPr="00EF7CF9" w:rsidRDefault="000C13D4" w:rsidP="00F01ED6">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F01ED6">
            <w:pPr>
              <w:pStyle w:val="ProductList-OfferingBody"/>
              <w:jc w:val="center"/>
            </w:pPr>
            <w:r>
              <w:t>&lt; 99%</w:t>
            </w:r>
          </w:p>
        </w:tc>
        <w:tc>
          <w:tcPr>
            <w:tcW w:w="5400" w:type="dxa"/>
          </w:tcPr>
          <w:p w14:paraId="3FC2502C" w14:textId="77777777" w:rsidR="000C13D4" w:rsidRPr="00EF7CF9" w:rsidRDefault="000C13D4" w:rsidP="00F01ED6">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F01ED6">
            <w:pPr>
              <w:pStyle w:val="ProductList-OfferingBody"/>
              <w:jc w:val="center"/>
            </w:pPr>
            <w:r>
              <w:t>&lt; 95%</w:t>
            </w:r>
          </w:p>
        </w:tc>
        <w:tc>
          <w:tcPr>
            <w:tcW w:w="5400" w:type="dxa"/>
          </w:tcPr>
          <w:p w14:paraId="1EF01771" w14:textId="77777777" w:rsidR="000C13D4" w:rsidRPr="00EF7CF9" w:rsidRDefault="000C13D4" w:rsidP="00F01ED6">
            <w:pPr>
              <w:pStyle w:val="ProductList-OfferingBody"/>
              <w:jc w:val="center"/>
            </w:pPr>
            <w:r>
              <w:t>100%</w:t>
            </w:r>
          </w:p>
        </w:tc>
      </w:tr>
    </w:tbl>
    <w:bookmarkStart w:id="86" w:name="_Toc457821519"/>
    <w:p w14:paraId="0656EB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4ACF6A" w14:textId="77777777" w:rsidR="008E68F7" w:rsidRPr="00EF7CF9" w:rsidRDefault="008E68F7" w:rsidP="00F01ED6">
      <w:pPr>
        <w:pStyle w:val="ProductList-Offering2Heading"/>
        <w:outlineLvl w:val="2"/>
      </w:pPr>
      <w:bookmarkStart w:id="87" w:name="_Toc214456746"/>
      <w:r>
        <w:t>Office 365 Advanced Compliance</w:t>
      </w:r>
      <w:bookmarkEnd w:id="87"/>
    </w:p>
    <w:p w14:paraId="7A03DE1C" w14:textId="77777777" w:rsidR="008E68F7" w:rsidRPr="00EF7CF9" w:rsidRDefault="008E68F7" w:rsidP="00F01ED6">
      <w:pPr>
        <w:pStyle w:val="ProductList-Body"/>
        <w:tabs>
          <w:tab w:val="clear" w:pos="360"/>
        </w:tabs>
      </w:pPr>
      <w:r>
        <w:rPr>
          <w:b/>
          <w:bCs/>
          <w:color w:val="00188F"/>
        </w:rPr>
        <w:t>Período de Indisponibilidade</w:t>
      </w:r>
      <w:r w:rsidRPr="00473DD3">
        <w:rPr>
          <w:b/>
          <w:bCs/>
          <w:color w:val="00188F"/>
        </w:rPr>
        <w:t>:</w:t>
      </w:r>
      <w:r>
        <w:t xml:space="preserve"> Qualquer período de tempo em que o componente Cofre do Cliente do Office 365 Advanced Compliance é colocado no modo de funcionalidade reduzida devido a um problema com o Office 365.</w:t>
      </w:r>
    </w:p>
    <w:p w14:paraId="47C40BE6" w14:textId="4147C950" w:rsidR="008E68F7" w:rsidRPr="00EF7CF9" w:rsidRDefault="00AC48A7" w:rsidP="00F01ED6">
      <w:pPr>
        <w:pStyle w:val="ProductList-Body"/>
        <w:tabs>
          <w:tab w:val="clear" w:pos="360"/>
        </w:tabs>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470961B4" w14:textId="77777777" w:rsidR="008E68F7" w:rsidRPr="00EF7CF9" w:rsidRDefault="008E68F7" w:rsidP="00F01ED6">
      <w:pPr>
        <w:pStyle w:val="ProductList-Body"/>
      </w:pPr>
    </w:p>
    <w:p w14:paraId="4DF611F4" w14:textId="107C1EC0" w:rsidR="008E68F7" w:rsidRPr="00EF7CF9" w:rsidRDefault="00000000" w:rsidP="00F01ED6">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41B9621" w14:textId="5B2DF96A" w:rsidR="008E68F7" w:rsidRPr="00EF7CF9" w:rsidRDefault="00AC48A7" w:rsidP="00F01ED6">
      <w:pPr>
        <w:pStyle w:val="ProductList-Body"/>
        <w:tabs>
          <w:tab w:val="clear" w:pos="360"/>
        </w:tabs>
        <w:ind w:right="99"/>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15B5DAE" w14:textId="77777777" w:rsidR="008E68F7" w:rsidRPr="001A6663" w:rsidRDefault="008E68F7" w:rsidP="00F01ED6">
      <w:pPr>
        <w:pStyle w:val="ProductList-Body"/>
        <w:rPr>
          <w:szCs w:val="20"/>
        </w:rPr>
      </w:pPr>
    </w:p>
    <w:p w14:paraId="0925D96B" w14:textId="77777777" w:rsidR="008E68F7" w:rsidRPr="00EF7CF9" w:rsidRDefault="008E68F7"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25E5279" w14:textId="77777777" w:rsidR="008E68F7" w:rsidRPr="00EF7CF9" w:rsidRDefault="008E68F7" w:rsidP="00F01ED6">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CC3273">
        <w:tc>
          <w:tcPr>
            <w:tcW w:w="5400" w:type="dxa"/>
          </w:tcPr>
          <w:p w14:paraId="7D0A4079" w14:textId="77777777" w:rsidR="008E68F7" w:rsidRPr="00EF7CF9" w:rsidRDefault="008E68F7" w:rsidP="00F01ED6">
            <w:pPr>
              <w:pStyle w:val="ProductList-OfferingBody"/>
              <w:jc w:val="center"/>
            </w:pPr>
            <w:r>
              <w:t>&lt; 99,9%</w:t>
            </w:r>
          </w:p>
        </w:tc>
        <w:tc>
          <w:tcPr>
            <w:tcW w:w="5400" w:type="dxa"/>
          </w:tcPr>
          <w:p w14:paraId="0D5866E2" w14:textId="77777777" w:rsidR="008E68F7" w:rsidRPr="00EF7CF9" w:rsidRDefault="008E68F7" w:rsidP="00F01ED6">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F01ED6">
            <w:pPr>
              <w:pStyle w:val="ProductList-OfferingBody"/>
              <w:jc w:val="center"/>
            </w:pPr>
            <w:r>
              <w:t>&lt; 99%</w:t>
            </w:r>
          </w:p>
        </w:tc>
        <w:tc>
          <w:tcPr>
            <w:tcW w:w="5400" w:type="dxa"/>
          </w:tcPr>
          <w:p w14:paraId="25B6BEF5" w14:textId="77777777" w:rsidR="008E68F7" w:rsidRPr="00EF7CF9" w:rsidRDefault="008E68F7" w:rsidP="00F01ED6">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F01ED6">
            <w:pPr>
              <w:pStyle w:val="ProductList-OfferingBody"/>
              <w:jc w:val="center"/>
            </w:pPr>
            <w:r>
              <w:t>&lt; 95%</w:t>
            </w:r>
          </w:p>
        </w:tc>
        <w:tc>
          <w:tcPr>
            <w:tcW w:w="5400" w:type="dxa"/>
          </w:tcPr>
          <w:p w14:paraId="4F6ABDDE" w14:textId="77777777" w:rsidR="008E68F7" w:rsidRPr="00EF7CF9" w:rsidRDefault="008E68F7" w:rsidP="00F01ED6">
            <w:pPr>
              <w:pStyle w:val="ProductList-OfferingBody"/>
              <w:jc w:val="center"/>
            </w:pPr>
            <w:r>
              <w:t>100%</w:t>
            </w:r>
          </w:p>
        </w:tc>
      </w:tr>
    </w:tbl>
    <w:p w14:paraId="1A6E89B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F8FB09B" w14:textId="337A94B6" w:rsidR="000C13D4" w:rsidRPr="00EF7CF9" w:rsidRDefault="004F25AA" w:rsidP="00F01ED6">
      <w:pPr>
        <w:pStyle w:val="ProductList-Offering2Heading"/>
        <w:keepNext/>
        <w:outlineLvl w:val="2"/>
      </w:pPr>
      <w:bookmarkStart w:id="88" w:name="_Toc214456747"/>
      <w:r>
        <w:t>Office Online</w:t>
      </w:r>
      <w:bookmarkEnd w:id="86"/>
      <w:bookmarkEnd w:id="88"/>
    </w:p>
    <w:p w14:paraId="1676D4F2" w14:textId="2F89AD95"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utilizar as Aplicações Web para ver e editar quaisquer documentos do Office armazenados num site do SharePoint Online para o qual têm permissões adequadas</w:t>
      </w:r>
      <w:r>
        <w:t>.</w:t>
      </w:r>
    </w:p>
    <w:p w14:paraId="4C684597" w14:textId="445E60E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5742A099" w14:textId="77777777" w:rsidR="000C13D4" w:rsidRPr="00EF7CF9" w:rsidRDefault="000C13D4" w:rsidP="00F01ED6">
      <w:pPr>
        <w:pStyle w:val="ProductList-Body"/>
      </w:pPr>
    </w:p>
    <w:p w14:paraId="3217F941" w14:textId="0AC46DF2"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CC20D20" w14:textId="2176554C" w:rsidR="000C13D4"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B7E6EA7" w14:textId="77777777" w:rsidR="000C13D4" w:rsidRPr="00EF7CF9" w:rsidRDefault="000C13D4" w:rsidP="00F01ED6">
      <w:pPr>
        <w:pStyle w:val="ProductList-Body"/>
      </w:pPr>
    </w:p>
    <w:p w14:paraId="5C67B0F7" w14:textId="7D3AF8C9"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EAB7B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C86427">
        <w:tc>
          <w:tcPr>
            <w:tcW w:w="5400" w:type="dxa"/>
          </w:tcPr>
          <w:p w14:paraId="20E340F7" w14:textId="24EBE8E7" w:rsidR="000C13D4" w:rsidRPr="00EF7CF9" w:rsidRDefault="000C13D4" w:rsidP="00F01ED6">
            <w:pPr>
              <w:pStyle w:val="ProductList-OfferingBody"/>
              <w:jc w:val="center"/>
            </w:pPr>
            <w:r>
              <w:t>&lt; 99,9%</w:t>
            </w:r>
          </w:p>
        </w:tc>
        <w:tc>
          <w:tcPr>
            <w:tcW w:w="5400" w:type="dxa"/>
          </w:tcPr>
          <w:p w14:paraId="4940133B" w14:textId="77777777" w:rsidR="000C13D4" w:rsidRPr="00EF7CF9" w:rsidRDefault="000C13D4" w:rsidP="00F01ED6">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F01ED6">
            <w:pPr>
              <w:pStyle w:val="ProductList-OfferingBody"/>
              <w:jc w:val="center"/>
            </w:pPr>
            <w:r>
              <w:t>&lt; 99%</w:t>
            </w:r>
          </w:p>
        </w:tc>
        <w:tc>
          <w:tcPr>
            <w:tcW w:w="5400" w:type="dxa"/>
          </w:tcPr>
          <w:p w14:paraId="4BBAA378" w14:textId="77777777" w:rsidR="000C13D4" w:rsidRPr="00EF7CF9" w:rsidRDefault="000C13D4" w:rsidP="00F01ED6">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F01ED6">
            <w:pPr>
              <w:pStyle w:val="ProductList-OfferingBody"/>
              <w:jc w:val="center"/>
            </w:pPr>
            <w:r>
              <w:t>&lt; 95%</w:t>
            </w:r>
          </w:p>
        </w:tc>
        <w:tc>
          <w:tcPr>
            <w:tcW w:w="5400" w:type="dxa"/>
          </w:tcPr>
          <w:p w14:paraId="46C6F630" w14:textId="77777777" w:rsidR="000C13D4" w:rsidRPr="00EF7CF9" w:rsidRDefault="000C13D4" w:rsidP="00F01ED6">
            <w:pPr>
              <w:pStyle w:val="ProductList-OfferingBody"/>
              <w:jc w:val="center"/>
            </w:pPr>
            <w:r>
              <w:t>100%</w:t>
            </w:r>
          </w:p>
        </w:tc>
      </w:tr>
    </w:tbl>
    <w:bookmarkStart w:id="89" w:name="_Toc457821520"/>
    <w:p w14:paraId="7AC09B6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4E9369" w14:textId="591EABAD" w:rsidR="000C13D4" w:rsidRPr="00EF7CF9" w:rsidRDefault="000C13D4" w:rsidP="00F01ED6">
      <w:pPr>
        <w:pStyle w:val="ProductList-Offering2Heading"/>
        <w:keepNext/>
        <w:outlineLvl w:val="2"/>
      </w:pPr>
      <w:bookmarkStart w:id="90" w:name="_Toc214456748"/>
      <w:r>
        <w:t>Vídeo do Office 365</w:t>
      </w:r>
      <w:bookmarkEnd w:id="89"/>
      <w:bookmarkEnd w:id="90"/>
    </w:p>
    <w:p w14:paraId="3A79F112" w14:textId="74321ABC"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ver ou editar vídeos no portal de vídeos quando têm as permissões adequadas e conteúdos válidos.</w:t>
      </w:r>
    </w:p>
    <w:p w14:paraId="7DAA761D" w14:textId="4054EC88"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F823C6F" w14:textId="77777777" w:rsidR="000C13D4" w:rsidRPr="00EF7CF9" w:rsidRDefault="000C13D4" w:rsidP="00F01ED6">
      <w:pPr>
        <w:pStyle w:val="ProductList-Body"/>
      </w:pPr>
    </w:p>
    <w:p w14:paraId="12553895" w14:textId="2225583C"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A685FD4" w14:textId="2CB76A5D"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1312E98" w14:textId="77777777" w:rsidR="000C13D4" w:rsidRPr="00EF7CF9" w:rsidRDefault="000C13D4" w:rsidP="00F01ED6">
      <w:pPr>
        <w:pStyle w:val="ProductList-Body"/>
      </w:pPr>
    </w:p>
    <w:p w14:paraId="16D54A3F" w14:textId="15B50594" w:rsidR="000C13D4" w:rsidRPr="00EF7CF9" w:rsidRDefault="000C13D4" w:rsidP="00F01ED6">
      <w:pPr>
        <w:pStyle w:val="ProductList-Body"/>
      </w:pPr>
      <w:r>
        <w:rPr>
          <w:b/>
          <w:color w:val="00188F"/>
        </w:rPr>
        <w:t>Compromisso de Nível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AC43F5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C86427">
        <w:tc>
          <w:tcPr>
            <w:tcW w:w="5400" w:type="dxa"/>
          </w:tcPr>
          <w:p w14:paraId="7E778ED8" w14:textId="31E565B6" w:rsidR="000C13D4" w:rsidRPr="00EF7CF9" w:rsidRDefault="000C13D4" w:rsidP="00F01ED6">
            <w:pPr>
              <w:pStyle w:val="ProductList-OfferingBody"/>
              <w:jc w:val="center"/>
            </w:pPr>
            <w:r>
              <w:t>&lt; 99,9%</w:t>
            </w:r>
          </w:p>
        </w:tc>
        <w:tc>
          <w:tcPr>
            <w:tcW w:w="5400" w:type="dxa"/>
          </w:tcPr>
          <w:p w14:paraId="4BAFE0E4" w14:textId="77777777" w:rsidR="000C13D4" w:rsidRPr="00EF7CF9" w:rsidRDefault="000C13D4" w:rsidP="00F01ED6">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F01ED6">
            <w:pPr>
              <w:pStyle w:val="ProductList-OfferingBody"/>
              <w:jc w:val="center"/>
            </w:pPr>
            <w:r>
              <w:t>&lt; 99%</w:t>
            </w:r>
          </w:p>
        </w:tc>
        <w:tc>
          <w:tcPr>
            <w:tcW w:w="5400" w:type="dxa"/>
          </w:tcPr>
          <w:p w14:paraId="091B1753" w14:textId="77777777" w:rsidR="000C13D4" w:rsidRPr="00EF7CF9" w:rsidRDefault="000C13D4" w:rsidP="00F01ED6">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F01ED6">
            <w:pPr>
              <w:pStyle w:val="ProductList-OfferingBody"/>
              <w:jc w:val="center"/>
            </w:pPr>
            <w:r>
              <w:t>&lt; 95%</w:t>
            </w:r>
          </w:p>
        </w:tc>
        <w:tc>
          <w:tcPr>
            <w:tcW w:w="5400" w:type="dxa"/>
          </w:tcPr>
          <w:p w14:paraId="0F29C740" w14:textId="77777777" w:rsidR="000C13D4" w:rsidRPr="00EF7CF9" w:rsidRDefault="000C13D4" w:rsidP="00F01ED6">
            <w:pPr>
              <w:pStyle w:val="ProductList-OfferingBody"/>
              <w:jc w:val="center"/>
            </w:pPr>
            <w:r>
              <w:t>100%</w:t>
            </w:r>
          </w:p>
        </w:tc>
      </w:tr>
    </w:tbl>
    <w:bookmarkStart w:id="91" w:name="_Toc457821521"/>
    <w:p w14:paraId="79B418E6"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FA062E2" w14:textId="7A4D7C67" w:rsidR="000C13D4" w:rsidRPr="00EF7CF9" w:rsidRDefault="000C13D4" w:rsidP="00F01ED6">
      <w:pPr>
        <w:pStyle w:val="ProductList-Offering2Heading"/>
        <w:keepNext/>
        <w:outlineLvl w:val="2"/>
      </w:pPr>
      <w:bookmarkStart w:id="92" w:name="_Toc214456749"/>
      <w:r>
        <w:lastRenderedPageBreak/>
        <w:t xml:space="preserve">OneDrive </w:t>
      </w:r>
      <w:bookmarkEnd w:id="91"/>
      <w:r w:rsidR="00BA77FC">
        <w:t>trabalho ou escola</w:t>
      </w:r>
      <w:bookmarkEnd w:id="92"/>
    </w:p>
    <w:p w14:paraId="46FE7562" w14:textId="618A4FB4" w:rsidR="000C13D4" w:rsidRDefault="000C13D4" w:rsidP="00F01ED6">
      <w:pPr>
        <w:pStyle w:val="ProductList-Body"/>
        <w:rPr>
          <w:szCs w:val="18"/>
        </w:rPr>
      </w:pPr>
      <w:r>
        <w:rPr>
          <w:b/>
          <w:color w:val="00188F"/>
        </w:rPr>
        <w:t>Período de Indisponibilidade</w:t>
      </w:r>
      <w:r w:rsidRPr="00473DD3">
        <w:rPr>
          <w:b/>
          <w:color w:val="00188F"/>
        </w:rPr>
        <w:t>:</w:t>
      </w:r>
      <w:r>
        <w:t xml:space="preserve"> </w:t>
      </w:r>
      <w:r w:rsidR="006E6963">
        <w:rPr>
          <w:rFonts w:ascii="Calibri" w:hAnsi="Calibri" w:cs="Calibri"/>
        </w:rPr>
        <w:t>Qualquer período de tempo durante o qual os utilizadores não conseguem ver ou editar os ficheiros armazenados no respetivo armazenamento do OneDrive (profissional/escolar).</w:t>
      </w:r>
    </w:p>
    <w:p w14:paraId="6DEA7661" w14:textId="5867389A" w:rsidR="000C13D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6BB190F" w14:textId="568E85BB" w:rsidR="000C13D4"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2BD4BBD" w14:textId="30B50E1C"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30F4BBB" w14:textId="77777777" w:rsidR="000C13D4" w:rsidRPr="00EF7CF9" w:rsidRDefault="000C13D4" w:rsidP="00F01ED6">
      <w:pPr>
        <w:pStyle w:val="ProductList-Body"/>
      </w:pPr>
    </w:p>
    <w:p w14:paraId="6CD91602" w14:textId="66238D87"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03F76E"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C86427">
        <w:tc>
          <w:tcPr>
            <w:tcW w:w="5400" w:type="dxa"/>
          </w:tcPr>
          <w:p w14:paraId="11B9D86D" w14:textId="4CA54B5F" w:rsidR="000C13D4" w:rsidRPr="00EF7CF9" w:rsidRDefault="000C13D4" w:rsidP="00F01ED6">
            <w:pPr>
              <w:pStyle w:val="ProductList-OfferingBody"/>
              <w:jc w:val="center"/>
            </w:pPr>
            <w:r>
              <w:t>&lt; 99,9%</w:t>
            </w:r>
          </w:p>
        </w:tc>
        <w:tc>
          <w:tcPr>
            <w:tcW w:w="5400" w:type="dxa"/>
          </w:tcPr>
          <w:p w14:paraId="21B08C9D" w14:textId="77777777" w:rsidR="000C13D4" w:rsidRPr="00EF7CF9" w:rsidRDefault="000C13D4" w:rsidP="00F01ED6">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F01ED6">
            <w:pPr>
              <w:pStyle w:val="ProductList-OfferingBody"/>
              <w:jc w:val="center"/>
            </w:pPr>
            <w:r>
              <w:t>&lt; 99%</w:t>
            </w:r>
          </w:p>
        </w:tc>
        <w:tc>
          <w:tcPr>
            <w:tcW w:w="5400" w:type="dxa"/>
          </w:tcPr>
          <w:p w14:paraId="2607D833" w14:textId="77777777" w:rsidR="000C13D4" w:rsidRPr="00EF7CF9" w:rsidRDefault="000C13D4" w:rsidP="00F01ED6">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F01ED6">
            <w:pPr>
              <w:pStyle w:val="ProductList-OfferingBody"/>
              <w:keepNext/>
              <w:jc w:val="center"/>
            </w:pPr>
            <w:r>
              <w:t>&lt; 95%</w:t>
            </w:r>
          </w:p>
        </w:tc>
        <w:tc>
          <w:tcPr>
            <w:tcW w:w="5400" w:type="dxa"/>
          </w:tcPr>
          <w:p w14:paraId="1C49AAE4" w14:textId="77777777" w:rsidR="000C13D4" w:rsidRPr="00EF7CF9" w:rsidRDefault="000C13D4" w:rsidP="00F01ED6">
            <w:pPr>
              <w:pStyle w:val="ProductList-OfferingBody"/>
              <w:jc w:val="center"/>
            </w:pPr>
            <w:r>
              <w:t>100%</w:t>
            </w:r>
          </w:p>
        </w:tc>
      </w:tr>
    </w:tbl>
    <w:bookmarkStart w:id="93" w:name="_Toc457821522"/>
    <w:p w14:paraId="3CAECC3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5750250" w14:textId="4BB04D05" w:rsidR="00C86427" w:rsidRPr="00EF7CF9" w:rsidRDefault="00C86427" w:rsidP="00173870">
      <w:pPr>
        <w:pStyle w:val="ProductList-Offering2Heading"/>
        <w:keepNext/>
        <w:keepLines/>
        <w:outlineLvl w:val="2"/>
      </w:pPr>
      <w:bookmarkStart w:id="94" w:name="_Toc214456750"/>
      <w:r>
        <w:t>Project</w:t>
      </w:r>
      <w:bookmarkEnd w:id="93"/>
      <w:bookmarkEnd w:id="94"/>
    </w:p>
    <w:p w14:paraId="14E68B6F" w14:textId="0B3F1D78"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com o Project Web App para a qual têm permissões adequadas.</w:t>
      </w:r>
    </w:p>
    <w:p w14:paraId="251BAB3A" w14:textId="6B53635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960225A" w14:textId="6BAC7C8D" w:rsidR="00C86427"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812AAB2" w14:textId="79181511" w:rsidR="00C86427"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29909F8" w14:textId="1AF0D3B0"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3BEEC3"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C86427">
        <w:tc>
          <w:tcPr>
            <w:tcW w:w="5400" w:type="dxa"/>
          </w:tcPr>
          <w:p w14:paraId="07F00995" w14:textId="576DCEAF" w:rsidR="00C86427" w:rsidRPr="00EF7CF9" w:rsidRDefault="00C86427" w:rsidP="00F01ED6">
            <w:pPr>
              <w:pStyle w:val="ProductList-OfferingBody"/>
              <w:jc w:val="center"/>
            </w:pPr>
            <w:r>
              <w:t>&lt; 99,9%</w:t>
            </w:r>
          </w:p>
        </w:tc>
        <w:tc>
          <w:tcPr>
            <w:tcW w:w="5400" w:type="dxa"/>
          </w:tcPr>
          <w:p w14:paraId="1EAC3FA5" w14:textId="77777777" w:rsidR="00C86427" w:rsidRPr="00EF7CF9" w:rsidRDefault="00C86427" w:rsidP="00F01ED6">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F01ED6">
            <w:pPr>
              <w:pStyle w:val="ProductList-OfferingBody"/>
              <w:jc w:val="center"/>
            </w:pPr>
            <w:r>
              <w:t>&lt; 99%</w:t>
            </w:r>
          </w:p>
        </w:tc>
        <w:tc>
          <w:tcPr>
            <w:tcW w:w="5400" w:type="dxa"/>
          </w:tcPr>
          <w:p w14:paraId="38929F8D" w14:textId="77777777" w:rsidR="00C86427" w:rsidRPr="00EF7CF9" w:rsidRDefault="00C86427" w:rsidP="00F01ED6">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F01ED6">
            <w:pPr>
              <w:pStyle w:val="ProductList-OfferingBody"/>
              <w:jc w:val="center"/>
            </w:pPr>
            <w:r>
              <w:t>&lt; 95%</w:t>
            </w:r>
          </w:p>
        </w:tc>
        <w:tc>
          <w:tcPr>
            <w:tcW w:w="5400" w:type="dxa"/>
          </w:tcPr>
          <w:p w14:paraId="4C6598BC" w14:textId="77777777" w:rsidR="00C86427" w:rsidRPr="00EF7CF9" w:rsidRDefault="00C86427" w:rsidP="00F01ED6">
            <w:pPr>
              <w:pStyle w:val="ProductList-OfferingBody"/>
              <w:jc w:val="center"/>
            </w:pPr>
            <w:r>
              <w:t>100%</w:t>
            </w:r>
          </w:p>
        </w:tc>
      </w:tr>
    </w:tbl>
    <w:bookmarkStart w:id="95" w:name="_Toc457821523"/>
    <w:p w14:paraId="36996923"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051EC5D" w14:textId="20237168" w:rsidR="00C86427" w:rsidRPr="00EF7CF9" w:rsidRDefault="00C86427" w:rsidP="00F01ED6">
      <w:pPr>
        <w:pStyle w:val="ProductList-Offering2Heading"/>
        <w:outlineLvl w:val="2"/>
      </w:pPr>
      <w:bookmarkStart w:id="96" w:name="_Toc214456751"/>
      <w:r>
        <w:t>SharePoint Online</w:t>
      </w:r>
      <w:bookmarkEnd w:id="95"/>
      <w:bookmarkEnd w:id="96"/>
    </w:p>
    <w:p w14:paraId="41E58B9E" w14:textId="0F2B3227"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para a qual têm permissões adequadas.</w:t>
      </w:r>
    </w:p>
    <w:p w14:paraId="4F12AEC0" w14:textId="6785C6E5"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5BBD13D7" w14:textId="782DD4B8" w:rsidR="00C86427" w:rsidRPr="00FB0A40" w:rsidRDefault="00000000" w:rsidP="0065049D">
      <w:pPr>
        <w:spacing w:before="120" w:after="12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FAF12A4" w14:textId="414D53A1" w:rsidR="00C86427"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A6B2139" w14:textId="77777777" w:rsidR="00C86427" w:rsidRPr="00EF7CF9" w:rsidRDefault="00C86427" w:rsidP="00F01ED6">
      <w:pPr>
        <w:pStyle w:val="ProductList-Body"/>
      </w:pPr>
    </w:p>
    <w:p w14:paraId="7AE68D73" w14:textId="4FB1EB46"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0C3AB"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C86427">
        <w:tc>
          <w:tcPr>
            <w:tcW w:w="5400" w:type="dxa"/>
          </w:tcPr>
          <w:p w14:paraId="5CEBDE30" w14:textId="512D833F" w:rsidR="00C86427" w:rsidRPr="00EF7CF9" w:rsidRDefault="00C86427" w:rsidP="00F01ED6">
            <w:pPr>
              <w:pStyle w:val="ProductList-OfferingBody"/>
              <w:jc w:val="center"/>
            </w:pPr>
            <w:r>
              <w:t>&lt; 99,9%</w:t>
            </w:r>
          </w:p>
        </w:tc>
        <w:tc>
          <w:tcPr>
            <w:tcW w:w="5400" w:type="dxa"/>
          </w:tcPr>
          <w:p w14:paraId="5FB7CC40" w14:textId="77777777" w:rsidR="00C86427" w:rsidRPr="00EF7CF9" w:rsidRDefault="00C86427" w:rsidP="00F01ED6">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F01ED6">
            <w:pPr>
              <w:pStyle w:val="ProductList-OfferingBody"/>
              <w:jc w:val="center"/>
            </w:pPr>
            <w:r>
              <w:t>&lt; 99%</w:t>
            </w:r>
          </w:p>
        </w:tc>
        <w:tc>
          <w:tcPr>
            <w:tcW w:w="5400" w:type="dxa"/>
          </w:tcPr>
          <w:p w14:paraId="4C18F2FB" w14:textId="77777777" w:rsidR="00C86427" w:rsidRPr="00EF7CF9" w:rsidRDefault="00C86427" w:rsidP="00F01ED6">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F01ED6">
            <w:pPr>
              <w:pStyle w:val="ProductList-OfferingBody"/>
              <w:jc w:val="center"/>
            </w:pPr>
            <w:r>
              <w:t>&lt; 95%</w:t>
            </w:r>
          </w:p>
        </w:tc>
        <w:tc>
          <w:tcPr>
            <w:tcW w:w="5400" w:type="dxa"/>
          </w:tcPr>
          <w:p w14:paraId="07DE3FF0" w14:textId="77777777" w:rsidR="00C86427" w:rsidRPr="00EF7CF9" w:rsidRDefault="00C86427" w:rsidP="00F01ED6">
            <w:pPr>
              <w:pStyle w:val="ProductList-OfferingBody"/>
              <w:jc w:val="center"/>
            </w:pPr>
            <w:r>
              <w:t>100%</w:t>
            </w:r>
          </w:p>
        </w:tc>
      </w:tr>
    </w:tbl>
    <w:bookmarkStart w:id="97" w:name="_Toc457821524"/>
    <w:p w14:paraId="72A5C61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5819662" w14:textId="017A96D3" w:rsidR="00F601F4" w:rsidRPr="00EF7CF9" w:rsidRDefault="00AF793E" w:rsidP="00F01ED6">
      <w:pPr>
        <w:pStyle w:val="ProductList-Offering2Heading"/>
        <w:outlineLvl w:val="2"/>
      </w:pPr>
      <w:bookmarkStart w:id="98" w:name="_Toc457821525"/>
      <w:bookmarkStart w:id="99" w:name="_Toc526859637"/>
      <w:bookmarkStart w:id="100" w:name="_Toc214456752"/>
      <w:bookmarkEnd w:id="97"/>
      <w:r>
        <w:lastRenderedPageBreak/>
        <w:t>Microsoft Teams – Planos de Chamadas, Telefón</w:t>
      </w:r>
      <w:r w:rsidR="009B10D0">
        <w:t>e</w:t>
      </w:r>
      <w:r>
        <w:t xml:space="preserve"> </w:t>
      </w:r>
      <w:r w:rsidR="009B10D0">
        <w:t xml:space="preserve">do Teams </w:t>
      </w:r>
      <w:r>
        <w:t>e Conferências de Áudio</w:t>
      </w:r>
      <w:bookmarkEnd w:id="98"/>
      <w:bookmarkEnd w:id="99"/>
      <w:bookmarkEnd w:id="100"/>
    </w:p>
    <w:p w14:paraId="4772F010" w14:textId="09B0C5FB" w:rsidR="00F601F4" w:rsidRPr="00EF7CF9" w:rsidRDefault="00F601F4"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Período de Indisponibilidade</w:t>
      </w:r>
      <w:r w:rsidRPr="00473DD3">
        <w:rPr>
          <w:rFonts w:ascii="Calibri" w:eastAsia="Calibri" w:hAnsi="Calibri" w:cs="Times New Roman"/>
          <w:b/>
          <w:color w:val="00188F"/>
          <w:sz w:val="18"/>
        </w:rPr>
        <w:t>:</w:t>
      </w:r>
      <w:r>
        <w:rPr>
          <w:rFonts w:ascii="Calibri" w:eastAsia="Calibri" w:hAnsi="Calibri" w:cs="Times New Roman"/>
          <w:sz w:val="18"/>
          <w:szCs w:val="18"/>
        </w:rPr>
        <w:t xml:space="preserve"> Qualquer período em que os utilizadores finais não conseguem iniciar uma chamada RTPC ou não conseguem aceder por telefone a uma conferência de áudio via RTCP, ou processar chamadas com Filas de Chamadas ou Atendedor Automático.</w:t>
      </w:r>
    </w:p>
    <w:p w14:paraId="7A5ADEFA" w14:textId="4C762566" w:rsidR="000D4219" w:rsidRPr="00C609A8" w:rsidRDefault="00AC48A7" w:rsidP="00F01ED6">
      <w:pPr>
        <w:spacing w:after="0" w:line="240" w:lineRule="auto"/>
        <w:jc w:val="both"/>
        <w:rPr>
          <w:rFonts w:ascii="Calibri" w:eastAsia="Calibri" w:hAnsi="Calibri" w:cs="Times New Roman"/>
          <w:spacing w:val="-3"/>
          <w:sz w:val="18"/>
          <w:szCs w:val="18"/>
        </w:rPr>
      </w:pPr>
      <w:r w:rsidRPr="00C609A8">
        <w:rPr>
          <w:rFonts w:ascii="Calibri" w:eastAsia="Calibri" w:hAnsi="Calibri" w:cs="Times New Roman"/>
          <w:b/>
          <w:color w:val="00188F"/>
          <w:spacing w:val="-3"/>
          <w:sz w:val="18"/>
        </w:rPr>
        <w:t>Percentagem de Período de Disponibilidade</w:t>
      </w:r>
      <w:r w:rsidRPr="00473DD3">
        <w:rPr>
          <w:rFonts w:ascii="Calibri" w:eastAsia="Calibri" w:hAnsi="Calibri" w:cs="Times New Roman"/>
          <w:b/>
          <w:color w:val="00188F"/>
          <w:spacing w:val="-3"/>
          <w:sz w:val="18"/>
        </w:rPr>
        <w:t>:</w:t>
      </w:r>
      <w:r w:rsidRPr="00C609A8">
        <w:rPr>
          <w:rFonts w:ascii="Calibri" w:eastAsia="Calibri" w:hAnsi="Calibri" w:cs="Times New Roman"/>
          <w:color w:val="002060"/>
          <w:spacing w:val="-3"/>
          <w:sz w:val="18"/>
          <w:szCs w:val="18"/>
        </w:rPr>
        <w:t xml:space="preserve"> </w:t>
      </w:r>
      <w:r w:rsidRPr="00C609A8">
        <w:rPr>
          <w:rFonts w:ascii="Calibri" w:eastAsia="Calibri" w:hAnsi="Calibri" w:cs="Times New Roman"/>
          <w:spacing w:val="-3"/>
          <w:sz w:val="18"/>
          <w:szCs w:val="18"/>
        </w:rPr>
        <w:t>A Percentagem de Período de Disponibilidade é calculada com a seguinte fórmula para cada um dos serviços:</w:t>
      </w:r>
    </w:p>
    <w:p w14:paraId="41B5F33D" w14:textId="4D730828" w:rsidR="000D4219" w:rsidRPr="00EF7CF9" w:rsidRDefault="00000000" w:rsidP="0065049D">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1AE1DEBB" w14:textId="5D97402E" w:rsidR="0086376D" w:rsidRPr="0086376D" w:rsidRDefault="00331A48"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 O crédito será pago apenas em relação aos serviços reais que são afetados.</w:t>
      </w:r>
    </w:p>
    <w:p w14:paraId="662A6062" w14:textId="77777777" w:rsidR="0086376D" w:rsidRPr="00173870" w:rsidRDefault="0086376D" w:rsidP="00F01ED6">
      <w:pPr>
        <w:spacing w:after="0" w:line="240" w:lineRule="auto"/>
        <w:rPr>
          <w:rFonts w:ascii="Calibri" w:eastAsia="Calibri" w:hAnsi="Calibri" w:cs="Times New Roman"/>
          <w:sz w:val="18"/>
          <w:szCs w:val="18"/>
        </w:rPr>
      </w:pPr>
    </w:p>
    <w:p w14:paraId="6C1E23E8" w14:textId="02C06F24" w:rsidR="000D4219" w:rsidRPr="00EF7CF9" w:rsidRDefault="0086376D"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é aplicável às falhas causadas por qualquer falha de software, equipamento ou serviços de terceiros que não sejam controlados pela Microsoft, ou pelo software Microsoft que não esteja a ser executado pela própria Microsoft no âmbito do Serviço.</w:t>
      </w:r>
    </w:p>
    <w:p w14:paraId="5B546C0C" w14:textId="336439D2" w:rsidR="000D4219" w:rsidRPr="00173870" w:rsidRDefault="000D4219" w:rsidP="00F01ED6">
      <w:pPr>
        <w:spacing w:after="0" w:line="240" w:lineRule="auto"/>
        <w:rPr>
          <w:rFonts w:ascii="Calibri" w:eastAsia="Calibri" w:hAnsi="Calibri" w:cs="Times New Roman"/>
          <w:sz w:val="18"/>
          <w:szCs w:val="18"/>
        </w:rPr>
      </w:pPr>
    </w:p>
    <w:p w14:paraId="3C213E15" w14:textId="7E8E7A6A" w:rsidR="00204453" w:rsidRPr="00EF7CF9" w:rsidRDefault="0020445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BE217" w14:textId="77777777" w:rsidR="00204453" w:rsidRPr="00EF7CF9" w:rsidRDefault="00204453" w:rsidP="00F01ED6">
            <w:pPr>
              <w:pStyle w:val="ProductList-OfferingBody"/>
              <w:jc w:val="center"/>
              <w:rPr>
                <w:color w:val="FFFFFF" w:themeColor="background1"/>
              </w:rPr>
            </w:pPr>
            <w:r>
              <w:rPr>
                <w:color w:val="FFFFFF" w:themeColor="background1"/>
              </w:rPr>
              <w:t>Crédito de Serviço</w:t>
            </w:r>
          </w:p>
        </w:tc>
      </w:tr>
      <w:tr w:rsidR="00973E7C" w:rsidRPr="00B44CF9" w14:paraId="29EDBABB" w14:textId="77777777" w:rsidTr="00204453">
        <w:tc>
          <w:tcPr>
            <w:tcW w:w="5400" w:type="dxa"/>
          </w:tcPr>
          <w:p w14:paraId="7B33B0E3" w14:textId="005A1C4B" w:rsidR="00973E7C" w:rsidRDefault="00973E7C" w:rsidP="00973E7C">
            <w:pPr>
              <w:pStyle w:val="ProductList-OfferingBody"/>
              <w:jc w:val="center"/>
            </w:pPr>
            <w:r>
              <w:t>&lt; 99,999%</w:t>
            </w:r>
          </w:p>
        </w:tc>
        <w:tc>
          <w:tcPr>
            <w:tcW w:w="5400" w:type="dxa"/>
          </w:tcPr>
          <w:p w14:paraId="0915F1E6" w14:textId="1BFC2C89" w:rsidR="00973E7C" w:rsidRDefault="00973E7C" w:rsidP="00973E7C">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F01ED6">
            <w:pPr>
              <w:pStyle w:val="ProductList-OfferingBody"/>
              <w:jc w:val="center"/>
            </w:pPr>
            <w:r>
              <w:t>&lt; 99,99%</w:t>
            </w:r>
          </w:p>
        </w:tc>
        <w:tc>
          <w:tcPr>
            <w:tcW w:w="5400" w:type="dxa"/>
          </w:tcPr>
          <w:p w14:paraId="43A9434B" w14:textId="60108545" w:rsidR="0086376D" w:rsidRPr="00EF7CF9" w:rsidRDefault="00A866B3" w:rsidP="00F01ED6">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F01ED6">
            <w:pPr>
              <w:pStyle w:val="ProductList-OfferingBody"/>
              <w:jc w:val="center"/>
            </w:pPr>
            <w:r>
              <w:t>&lt; 99,9%</w:t>
            </w:r>
          </w:p>
        </w:tc>
        <w:tc>
          <w:tcPr>
            <w:tcW w:w="5400" w:type="dxa"/>
          </w:tcPr>
          <w:p w14:paraId="1F728475" w14:textId="77777777" w:rsidR="00204453" w:rsidRPr="00EF7CF9" w:rsidRDefault="00204453" w:rsidP="00F01ED6">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F01ED6">
            <w:pPr>
              <w:pStyle w:val="ProductList-OfferingBody"/>
              <w:jc w:val="center"/>
            </w:pPr>
            <w:r>
              <w:t>&lt; 99%</w:t>
            </w:r>
          </w:p>
        </w:tc>
        <w:tc>
          <w:tcPr>
            <w:tcW w:w="5400" w:type="dxa"/>
          </w:tcPr>
          <w:p w14:paraId="29580C8D" w14:textId="77777777" w:rsidR="00204453" w:rsidRPr="00EF7CF9" w:rsidRDefault="00204453" w:rsidP="00F01ED6">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F01ED6">
            <w:pPr>
              <w:pStyle w:val="ProductList-OfferingBody"/>
              <w:jc w:val="center"/>
            </w:pPr>
            <w:r>
              <w:t>&lt; 95%</w:t>
            </w:r>
          </w:p>
        </w:tc>
        <w:tc>
          <w:tcPr>
            <w:tcW w:w="5400" w:type="dxa"/>
          </w:tcPr>
          <w:p w14:paraId="62EAA25A" w14:textId="77777777" w:rsidR="00204453" w:rsidRPr="00EF7CF9" w:rsidRDefault="00204453" w:rsidP="00F01ED6">
            <w:pPr>
              <w:pStyle w:val="ProductList-OfferingBody"/>
              <w:jc w:val="center"/>
            </w:pPr>
            <w:r>
              <w:t>100%</w:t>
            </w:r>
          </w:p>
        </w:tc>
      </w:tr>
    </w:tbl>
    <w:bookmarkStart w:id="101" w:name="_Toc457821526"/>
    <w:p w14:paraId="2BF7D54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EE9CF4D" w14:textId="3AC11209" w:rsidR="00E25E0F" w:rsidRPr="00EF7CF9" w:rsidRDefault="00AF793E" w:rsidP="00F01ED6">
      <w:pPr>
        <w:pStyle w:val="ProductList-Offering2Heading"/>
        <w:outlineLvl w:val="2"/>
      </w:pPr>
      <w:bookmarkStart w:id="102" w:name="_Toc214456753"/>
      <w:r>
        <w:t>Microsoft Teams – Qualidade da Voz</w:t>
      </w:r>
      <w:bookmarkEnd w:id="101"/>
      <w:bookmarkEnd w:id="102"/>
    </w:p>
    <w:p w14:paraId="37E23CD8" w14:textId="77777777" w:rsidR="001D70B9" w:rsidRPr="00EF7CF9" w:rsidRDefault="001D70B9" w:rsidP="00F01ED6">
      <w:pPr>
        <w:pStyle w:val="ProductList-Body"/>
      </w:pPr>
      <w:r>
        <w:t>O presente SLA aplica-se a qualquer chamada elegível efetuada por qualquer utilizador do serviço de voz no âmbito da subscrição (com permissão para fazer qualquer tipo de chamada VOIP ou RTPC).</w:t>
      </w:r>
    </w:p>
    <w:p w14:paraId="5AC299E2" w14:textId="4B9CEFBE" w:rsidR="00E25E0F" w:rsidRPr="00EF7CF9" w:rsidRDefault="00E25E0F" w:rsidP="00F01ED6">
      <w:pPr>
        <w:pStyle w:val="ProductList-Body"/>
      </w:pPr>
      <w:r>
        <w:rPr>
          <w:b/>
          <w:color w:val="00188F"/>
        </w:rPr>
        <w:t>Definições Adicionais</w:t>
      </w:r>
      <w:r w:rsidRPr="00473DD3">
        <w:rPr>
          <w:b/>
          <w:color w:val="00188F"/>
        </w:rPr>
        <w:t>:</w:t>
      </w:r>
    </w:p>
    <w:p w14:paraId="769655EE" w14:textId="766FB4D8" w:rsidR="00E25E0F" w:rsidRPr="00EF7CF9" w:rsidRDefault="00380305" w:rsidP="00F01ED6">
      <w:pPr>
        <w:pStyle w:val="ProductList-Body"/>
      </w:pPr>
      <w:r>
        <w:t>“</w:t>
      </w:r>
      <w:r w:rsidR="00EF7CF9">
        <w:rPr>
          <w:b/>
          <w:color w:val="00188F"/>
        </w:rPr>
        <w:t>Chamada Elegível</w:t>
      </w:r>
      <w:r>
        <w:t>”</w:t>
      </w:r>
      <w:r w:rsidR="00EF7CF9">
        <w:t xml:space="preserve"> é uma chamada feita pelo Microsoft Teams (no âmbito de uma subscrição) que satisfaz ambas as seguintes condições: </w:t>
      </w:r>
    </w:p>
    <w:p w14:paraId="006B7BB5" w14:textId="75ED5DB2" w:rsidR="00E25E0F" w:rsidRPr="00EF7CF9" w:rsidRDefault="00E25E0F" w:rsidP="00F01ED6">
      <w:pPr>
        <w:pStyle w:val="ProductList-Body"/>
        <w:numPr>
          <w:ilvl w:val="0"/>
          <w:numId w:val="14"/>
        </w:numPr>
      </w:pPr>
      <w:r>
        <w:t>A chamada foi feita a partir de telefones Fixos IP com Certificação do Microsoft Teams numa Ethernet com fios</w:t>
      </w:r>
    </w:p>
    <w:p w14:paraId="36758620" w14:textId="77777777" w:rsidR="00E25E0F" w:rsidRPr="00EF7CF9" w:rsidRDefault="00E25E0F" w:rsidP="00F01ED6">
      <w:pPr>
        <w:pStyle w:val="ProductList-Body"/>
        <w:numPr>
          <w:ilvl w:val="0"/>
          <w:numId w:val="14"/>
        </w:numPr>
      </w:pPr>
      <w:r>
        <w:t xml:space="preserve">Os problemas de Perda de Pacotes, Instabilidade e Latência na chamada deveram-se às redes geridas pela Microsoft. </w:t>
      </w:r>
    </w:p>
    <w:p w14:paraId="55A75C61" w14:textId="024E67C0" w:rsidR="00E25E0F" w:rsidRPr="00EF7CF9" w:rsidRDefault="00380305" w:rsidP="00F01ED6">
      <w:pPr>
        <w:pStyle w:val="ProductList-Body"/>
      </w:pPr>
      <w:r>
        <w:t>“</w:t>
      </w:r>
      <w:r w:rsidR="00EF7CF9">
        <w:rPr>
          <w:b/>
          <w:color w:val="00188F"/>
        </w:rPr>
        <w:t>Total de Chamadas</w:t>
      </w:r>
      <w:r>
        <w:t>”</w:t>
      </w:r>
      <w:r w:rsidR="00EF7CF9">
        <w:t xml:space="preserve"> é o número total de Chamadas Elegíveis</w:t>
      </w:r>
    </w:p>
    <w:p w14:paraId="108FE9FB" w14:textId="51CFDE9E" w:rsidR="00E25E0F" w:rsidRPr="00EF7CF9" w:rsidRDefault="00380305" w:rsidP="00F01ED6">
      <w:pPr>
        <w:pStyle w:val="ProductList-Body"/>
      </w:pPr>
      <w:r>
        <w:t>“</w:t>
      </w:r>
      <w:r w:rsidR="00EF7CF9">
        <w:rPr>
          <w:b/>
          <w:color w:val="00188F"/>
        </w:rPr>
        <w:t>Chamadas de Má Qualidade</w:t>
      </w:r>
      <w:r>
        <w:t>”</w:t>
      </w:r>
      <w:r w:rsidR="00EF7CF9">
        <w:t xml:space="preserve"> é o número total de Chamadas Elegíveis classificadas como más com base em vários fatores que poderão afetar a</w:t>
      </w:r>
      <w:r w:rsidR="00AB0F2A">
        <w:t> </w:t>
      </w:r>
      <w:r w:rsidR="00EF7CF9">
        <w:t>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do</w:t>
      </w:r>
      <w:r w:rsidR="00AB0F2A">
        <w:t> </w:t>
      </w:r>
      <w:r w:rsidR="00EF7CF9">
        <w:t>Skype para Empresas e do Microsoft Teams, bem como na evolução dos Dispositivos, dos Algoritmos e nas classificações dos utilizadores finais.</w:t>
      </w:r>
    </w:p>
    <w:p w14:paraId="0B4A6654" w14:textId="695DAAB0" w:rsidR="00E25E0F" w:rsidRPr="00EF7CF9" w:rsidRDefault="00E25E0F"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473DD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utilizando a seguinte fórmula:</w:t>
      </w:r>
    </w:p>
    <w:p w14:paraId="1A1B6F7F" w14:textId="01A1792A" w:rsidR="00E25E0F" w:rsidRPr="00EF7CF9" w:rsidRDefault="00000000" w:rsidP="0065049D">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Chamadas - Chamadas de Má Qualidade</m:t>
              </m:r>
            </m:num>
            <m:den>
              <m:r>
                <m:rPr>
                  <m:nor/>
                </m:rPr>
                <w:rPr>
                  <w:rFonts w:ascii="Cambria Math" w:eastAsia="Calibri" w:hAnsi="Cambria Math" w:cs="Calibri"/>
                  <w:i/>
                  <w:iCs/>
                  <w:sz w:val="18"/>
                  <w:szCs w:val="18"/>
                </w:rPr>
                <m:t>Total de Chamadas</m:t>
              </m:r>
            </m:den>
          </m:f>
          <m:r>
            <w:rPr>
              <w:rFonts w:ascii="Cambria Math" w:eastAsia="Calibri" w:hAnsi="Cambria Math" w:cs="Calibri"/>
              <w:sz w:val="18"/>
              <w:szCs w:val="18"/>
            </w:rPr>
            <m:t xml:space="preserve"> x 100</m:t>
          </m:r>
        </m:oMath>
      </m:oMathPara>
    </w:p>
    <w:p w14:paraId="29912DEF" w14:textId="77777777" w:rsidR="00E25E0F" w:rsidRPr="00EF7CF9" w:rsidRDefault="00E25E0F" w:rsidP="00885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885CFE">
            <w:pPr>
              <w:pStyle w:val="ProductList-OfferingBody"/>
              <w:keepNext/>
              <w:keepLines/>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885CFE">
            <w:pPr>
              <w:pStyle w:val="ProductList-OfferingBody"/>
              <w:keepNext/>
              <w:keepLines/>
              <w:jc w:val="center"/>
              <w:rPr>
                <w:color w:val="FFFFFF" w:themeColor="background1"/>
              </w:rPr>
            </w:pPr>
            <w:r>
              <w:rPr>
                <w:color w:val="FFFFFF" w:themeColor="background1"/>
              </w:rPr>
              <w:t>Crédito de Serviço</w:t>
            </w:r>
          </w:p>
        </w:tc>
      </w:tr>
      <w:tr w:rsidR="00E25E0F" w:rsidRPr="00B44CF9" w14:paraId="424FC624" w14:textId="77777777" w:rsidTr="005326DD">
        <w:tc>
          <w:tcPr>
            <w:tcW w:w="5400" w:type="dxa"/>
          </w:tcPr>
          <w:p w14:paraId="1962101E" w14:textId="77777777" w:rsidR="00E25E0F" w:rsidRPr="00EF7CF9" w:rsidRDefault="00E25E0F" w:rsidP="00885CFE">
            <w:pPr>
              <w:pStyle w:val="ProductList-OfferingBody"/>
              <w:keepNext/>
              <w:keepLines/>
              <w:jc w:val="center"/>
            </w:pPr>
            <w:r>
              <w:t>&lt; 99,9%</w:t>
            </w:r>
          </w:p>
        </w:tc>
        <w:tc>
          <w:tcPr>
            <w:tcW w:w="5400" w:type="dxa"/>
          </w:tcPr>
          <w:p w14:paraId="6211073E" w14:textId="77777777" w:rsidR="00E25E0F" w:rsidRPr="00EF7CF9" w:rsidRDefault="00E25E0F" w:rsidP="00885CFE">
            <w:pPr>
              <w:pStyle w:val="ProductList-OfferingBody"/>
              <w:keepNext/>
              <w:keepLines/>
              <w:jc w:val="center"/>
            </w:pPr>
            <w:r>
              <w:t>25%</w:t>
            </w:r>
          </w:p>
        </w:tc>
      </w:tr>
      <w:tr w:rsidR="00E25E0F" w:rsidRPr="00B44CF9" w14:paraId="33028E0F" w14:textId="77777777" w:rsidTr="005326DD">
        <w:tc>
          <w:tcPr>
            <w:tcW w:w="5400" w:type="dxa"/>
          </w:tcPr>
          <w:p w14:paraId="09712D25" w14:textId="77777777" w:rsidR="00E25E0F" w:rsidRPr="00EF7CF9" w:rsidRDefault="00E25E0F" w:rsidP="00885CFE">
            <w:pPr>
              <w:pStyle w:val="ProductList-OfferingBody"/>
              <w:keepNext/>
              <w:keepLines/>
              <w:jc w:val="center"/>
            </w:pPr>
            <w:r>
              <w:t>&lt; 99%</w:t>
            </w:r>
          </w:p>
        </w:tc>
        <w:tc>
          <w:tcPr>
            <w:tcW w:w="5400" w:type="dxa"/>
          </w:tcPr>
          <w:p w14:paraId="55DDA4A7" w14:textId="77777777" w:rsidR="00E25E0F" w:rsidRPr="00EF7CF9" w:rsidRDefault="00E25E0F" w:rsidP="00885CFE">
            <w:pPr>
              <w:pStyle w:val="ProductList-OfferingBody"/>
              <w:keepNext/>
              <w:keepLines/>
              <w:jc w:val="center"/>
            </w:pPr>
            <w:r>
              <w:t>50%</w:t>
            </w:r>
          </w:p>
        </w:tc>
      </w:tr>
      <w:tr w:rsidR="00E25E0F" w:rsidRPr="00B44CF9" w14:paraId="440BE748" w14:textId="77777777" w:rsidTr="005326DD">
        <w:tc>
          <w:tcPr>
            <w:tcW w:w="5400" w:type="dxa"/>
          </w:tcPr>
          <w:p w14:paraId="0410A4CD" w14:textId="77777777" w:rsidR="00E25E0F" w:rsidRPr="00EF7CF9" w:rsidRDefault="00E25E0F" w:rsidP="00F01ED6">
            <w:pPr>
              <w:pStyle w:val="ProductList-OfferingBody"/>
              <w:jc w:val="center"/>
            </w:pPr>
            <w:r>
              <w:t>&lt; 95%</w:t>
            </w:r>
          </w:p>
        </w:tc>
        <w:tc>
          <w:tcPr>
            <w:tcW w:w="5400" w:type="dxa"/>
          </w:tcPr>
          <w:p w14:paraId="0D8F0DAA" w14:textId="77777777" w:rsidR="00E25E0F" w:rsidRPr="00EF7CF9" w:rsidRDefault="00E25E0F" w:rsidP="00F01ED6">
            <w:pPr>
              <w:pStyle w:val="ProductList-OfferingBody"/>
              <w:keepNext/>
              <w:jc w:val="center"/>
            </w:pPr>
            <w:r>
              <w:t>100%</w:t>
            </w:r>
          </w:p>
        </w:tc>
      </w:tr>
    </w:tbl>
    <w:bookmarkStart w:id="103" w:name="_Toc457821527"/>
    <w:p w14:paraId="2073F63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B8073DE" w14:textId="48F94266" w:rsidR="00006365" w:rsidRPr="00EF7CF9" w:rsidRDefault="00006365" w:rsidP="00F01ED6">
      <w:pPr>
        <w:pStyle w:val="ProductList-Offering2Heading"/>
        <w:outlineLvl w:val="2"/>
      </w:pPr>
      <w:bookmarkStart w:id="104" w:name="_Toc214456754"/>
      <w:r>
        <w:t>Informações sobre Tendências Empresariais</w:t>
      </w:r>
      <w:bookmarkEnd w:id="104"/>
    </w:p>
    <w:p w14:paraId="39EA0E40" w14:textId="26873E2C" w:rsidR="00006365" w:rsidRPr="00EF7CF9" w:rsidRDefault="00006365" w:rsidP="00F01ED6">
      <w:pPr>
        <w:pStyle w:val="ProductList-Body"/>
      </w:pPr>
      <w:r>
        <w:rPr>
          <w:b/>
          <w:color w:val="00188F"/>
        </w:rPr>
        <w:t>Período de Indisponibilidade</w:t>
      </w:r>
      <w:r w:rsidRPr="00473DD3">
        <w:rPr>
          <w:b/>
          <w:color w:val="00188F"/>
        </w:rPr>
        <w:t>:</w:t>
      </w:r>
      <w:r>
        <w:t xml:space="preserve"> Qualquer período de tempo em que os utilizadores não conseguem aceder ao Web site Informações sobre Tendências Empresariais.</w:t>
      </w:r>
    </w:p>
    <w:p w14:paraId="7BCDE968" w14:textId="78D697ED" w:rsidR="00006365"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580373D" w14:textId="77777777" w:rsidR="00006365" w:rsidRPr="00EF7CF9" w:rsidRDefault="00006365" w:rsidP="00F01ED6">
      <w:pPr>
        <w:pStyle w:val="ProductList-Body"/>
      </w:pPr>
    </w:p>
    <w:p w14:paraId="42D3EDC3" w14:textId="4E6898BA" w:rsidR="00006365"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6D60245" w14:textId="22488CC3" w:rsidR="00006365"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8A52B5D" w14:textId="77777777" w:rsidR="00CF3581" w:rsidRPr="00EF7CF9" w:rsidRDefault="00CF3581" w:rsidP="00F01ED6">
      <w:pPr>
        <w:pStyle w:val="ProductList-Body"/>
      </w:pPr>
    </w:p>
    <w:p w14:paraId="0B221A30" w14:textId="77777777" w:rsidR="00006365" w:rsidRPr="00EF7CF9" w:rsidRDefault="0000636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89005C8" w14:textId="64D79297" w:rsidR="00006365" w:rsidRPr="00EF7CF9" w:rsidRDefault="00CF3581" w:rsidP="00F01ED6">
            <w:pPr>
              <w:pStyle w:val="ProductList-OfferingBody"/>
              <w:jc w:val="center"/>
              <w:rPr>
                <w:color w:val="FFFFFF" w:themeColor="background1"/>
              </w:rPr>
            </w:pPr>
            <w:r>
              <w:rPr>
                <w:color w:val="FFFFFF" w:themeColor="background1"/>
              </w:rPr>
              <w:t>Crédito de Serviço</w:t>
            </w:r>
          </w:p>
        </w:tc>
      </w:tr>
      <w:tr w:rsidR="00CF3581" w:rsidRPr="00B44CF9" w14:paraId="2C79A02E" w14:textId="77777777" w:rsidTr="00EE6CC5">
        <w:tc>
          <w:tcPr>
            <w:tcW w:w="5400" w:type="dxa"/>
          </w:tcPr>
          <w:p w14:paraId="4A93E858" w14:textId="165BBF89" w:rsidR="00CF3581" w:rsidRPr="00EF7CF9" w:rsidRDefault="00CF3581" w:rsidP="00F01ED6">
            <w:pPr>
              <w:pStyle w:val="ProductList-OfferingBody"/>
              <w:jc w:val="center"/>
            </w:pPr>
            <w:r>
              <w:t>&lt; 99,9%</w:t>
            </w:r>
          </w:p>
        </w:tc>
        <w:tc>
          <w:tcPr>
            <w:tcW w:w="5400" w:type="dxa"/>
          </w:tcPr>
          <w:p w14:paraId="2745667D" w14:textId="58CFB147" w:rsidR="00CF3581" w:rsidRPr="00EF7CF9" w:rsidRDefault="00CF3581" w:rsidP="00F01ED6">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F01ED6">
            <w:pPr>
              <w:pStyle w:val="ProductList-OfferingBody"/>
              <w:jc w:val="center"/>
            </w:pPr>
            <w:r>
              <w:t>&lt; 99%</w:t>
            </w:r>
          </w:p>
        </w:tc>
        <w:tc>
          <w:tcPr>
            <w:tcW w:w="5400" w:type="dxa"/>
          </w:tcPr>
          <w:p w14:paraId="7255049B" w14:textId="0E8A5F92" w:rsidR="00CF3581" w:rsidRPr="00EF7CF9" w:rsidRDefault="00CF3581" w:rsidP="00F01ED6">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F01ED6">
            <w:pPr>
              <w:pStyle w:val="ProductList-OfferingBody"/>
              <w:jc w:val="center"/>
            </w:pPr>
            <w:r>
              <w:t>&lt; 95%</w:t>
            </w:r>
          </w:p>
        </w:tc>
        <w:tc>
          <w:tcPr>
            <w:tcW w:w="5400" w:type="dxa"/>
          </w:tcPr>
          <w:p w14:paraId="7AFD3FF5" w14:textId="0D7588DC" w:rsidR="00CF3581" w:rsidRPr="00EF7CF9" w:rsidRDefault="00CF3581" w:rsidP="00F01ED6">
            <w:pPr>
              <w:pStyle w:val="ProductList-OfferingBody"/>
              <w:jc w:val="center"/>
            </w:pPr>
            <w:r>
              <w:t>100%</w:t>
            </w:r>
          </w:p>
        </w:tc>
      </w:tr>
    </w:tbl>
    <w:p w14:paraId="16FEC0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6C3629" w14:textId="7B0B1A56" w:rsidR="00C86427" w:rsidRPr="00EF7CF9" w:rsidRDefault="00C8391A" w:rsidP="00F01ED6">
      <w:pPr>
        <w:pStyle w:val="ProductList-Offering2Heading"/>
        <w:outlineLvl w:val="2"/>
      </w:pPr>
      <w:bookmarkStart w:id="105" w:name="_Toc214456755"/>
      <w:bookmarkEnd w:id="103"/>
      <w:r>
        <w:t>Viva Engage</w:t>
      </w:r>
      <w:bookmarkEnd w:id="105"/>
    </w:p>
    <w:p w14:paraId="2EE1FFB1" w14:textId="77777777" w:rsidR="00AA2E12" w:rsidRPr="00E36382" w:rsidRDefault="00AA2E12" w:rsidP="00AA2E12">
      <w:pPr>
        <w:pStyle w:val="ProductList-Body"/>
        <w:rPr>
          <w:rFonts w:ascii="Calibri" w:hAnsi="Calibri" w:cs="Calibri"/>
        </w:rPr>
      </w:pPr>
      <w:r>
        <w:rPr>
          <w:rFonts w:ascii="Calibri" w:hAnsi="Calibri" w:cs="Calibri"/>
          <w:b/>
          <w:color w:val="00188F"/>
        </w:rPr>
        <w:t>Período de Indisponibilidade</w:t>
      </w:r>
      <w:r w:rsidRPr="00396CE0">
        <w:rPr>
          <w:rFonts w:ascii="Calibri" w:hAnsi="Calibri" w:cs="Calibri"/>
          <w:b/>
          <w:color w:val="00188F"/>
        </w:rPr>
        <w:t>:</w:t>
      </w:r>
      <w:r>
        <w:rPr>
          <w:rFonts w:ascii="Calibri" w:hAnsi="Calibri" w:cs="Calibri"/>
        </w:rPr>
        <w:t xml:space="preserve"> </w:t>
      </w:r>
      <w:r>
        <w:rPr>
          <w:rFonts w:ascii="Calibri" w:hAnsi="Calibri" w:cs="Calibri"/>
          <w:szCs w:val="18"/>
        </w:rPr>
        <w:t>Qualquer período de tempo superior a dez minutos quando mais de cinco por cento dos utilizadores finais não conseguem publicar ou ler mensagens em qualquer parte da rede Viva Engage para a qual têm as permissões adequadas.</w:t>
      </w:r>
    </w:p>
    <w:p w14:paraId="476BDF33" w14:textId="5A43C8B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3177606" w14:textId="7F1555DC" w:rsidR="00C86427"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6178239" w14:textId="43137EB5" w:rsidR="00C86427" w:rsidRPr="00EF7CF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EEB8778" w14:textId="77777777" w:rsidR="00C86427" w:rsidRPr="00EF7CF9" w:rsidRDefault="00C86427" w:rsidP="00F01ED6">
      <w:pPr>
        <w:pStyle w:val="ProductList-Body"/>
      </w:pPr>
    </w:p>
    <w:p w14:paraId="3CB8DA5D" w14:textId="10D482CB"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3835E2"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C86427">
        <w:tc>
          <w:tcPr>
            <w:tcW w:w="5400" w:type="dxa"/>
          </w:tcPr>
          <w:p w14:paraId="2A0C0D6F" w14:textId="79723A54" w:rsidR="00C86427" w:rsidRPr="00EF7CF9" w:rsidRDefault="00C86427" w:rsidP="00F01ED6">
            <w:pPr>
              <w:pStyle w:val="ProductList-OfferingBody"/>
              <w:jc w:val="center"/>
            </w:pPr>
            <w:r>
              <w:t>&lt; 99,9%</w:t>
            </w:r>
          </w:p>
        </w:tc>
        <w:tc>
          <w:tcPr>
            <w:tcW w:w="5400" w:type="dxa"/>
          </w:tcPr>
          <w:p w14:paraId="2B6C1459" w14:textId="77777777" w:rsidR="00C86427" w:rsidRPr="00EF7CF9" w:rsidRDefault="00C86427" w:rsidP="00F01ED6">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F01ED6">
            <w:pPr>
              <w:pStyle w:val="ProductList-OfferingBody"/>
              <w:jc w:val="center"/>
            </w:pPr>
            <w:r>
              <w:t>&lt; 99%</w:t>
            </w:r>
          </w:p>
        </w:tc>
        <w:tc>
          <w:tcPr>
            <w:tcW w:w="5400" w:type="dxa"/>
          </w:tcPr>
          <w:p w14:paraId="5DDFDCAF" w14:textId="77777777" w:rsidR="00C86427" w:rsidRPr="00EF7CF9" w:rsidRDefault="00C86427" w:rsidP="00F01ED6">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F01ED6">
            <w:pPr>
              <w:pStyle w:val="ProductList-OfferingBody"/>
              <w:jc w:val="center"/>
            </w:pPr>
            <w:r>
              <w:t>&lt; 95%</w:t>
            </w:r>
          </w:p>
        </w:tc>
        <w:tc>
          <w:tcPr>
            <w:tcW w:w="5400" w:type="dxa"/>
          </w:tcPr>
          <w:p w14:paraId="5933E5F9" w14:textId="77777777" w:rsidR="00C86427" w:rsidRPr="00EF7CF9" w:rsidRDefault="00C86427" w:rsidP="00F01ED6">
            <w:pPr>
              <w:pStyle w:val="ProductList-OfferingBody"/>
              <w:jc w:val="center"/>
            </w:pPr>
            <w:r>
              <w:t>100%</w:t>
            </w:r>
          </w:p>
        </w:tc>
      </w:tr>
    </w:tbl>
    <w:bookmarkStart w:id="106" w:name="_Toc53474718"/>
    <w:bookmarkStart w:id="107" w:name="MicrosoftAzureServices"/>
    <w:p w14:paraId="2DDA096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5F8587" w14:textId="191D8225" w:rsidR="00DC0631" w:rsidRPr="00EF7CF9" w:rsidRDefault="00DC0631" w:rsidP="00F01ED6">
      <w:pPr>
        <w:pStyle w:val="ProductList-OfferingGroupHeading"/>
        <w:tabs>
          <w:tab w:val="clear" w:pos="360"/>
          <w:tab w:val="clear" w:pos="720"/>
          <w:tab w:val="clear" w:pos="1080"/>
        </w:tabs>
        <w:outlineLvl w:val="1"/>
      </w:pPr>
      <w:bookmarkStart w:id="108" w:name="_Toc214456756"/>
      <w:r>
        <w:t>Serviços e Planos do</w:t>
      </w:r>
      <w:bookmarkEnd w:id="106"/>
      <w:r>
        <w:t xml:space="preserve"> Microsoft Azure</w:t>
      </w:r>
      <w:bookmarkEnd w:id="108"/>
    </w:p>
    <w:p w14:paraId="0FE870F8" w14:textId="271718BC" w:rsidR="00755B76" w:rsidRPr="006F3CBD" w:rsidRDefault="003B1144" w:rsidP="00F01ED6">
      <w:pPr>
        <w:pStyle w:val="ProductList-Offering2Heading"/>
        <w:tabs>
          <w:tab w:val="clear" w:pos="360"/>
          <w:tab w:val="clear" w:pos="720"/>
          <w:tab w:val="clear" w:pos="1080"/>
        </w:tabs>
        <w:outlineLvl w:val="2"/>
        <w:rPr>
          <w:lang w:val="en-IN"/>
        </w:rPr>
      </w:pPr>
      <w:bookmarkStart w:id="109" w:name="_Toc214456757"/>
      <w:bookmarkStart w:id="110" w:name="_Toc52348916"/>
      <w:bookmarkStart w:id="111" w:name="_Toc457821535"/>
      <w:bookmarkStart w:id="112" w:name="_Toc457821591"/>
      <w:bookmarkEnd w:id="107"/>
      <w:r>
        <w:rPr>
          <w:lang w:val="en-IN"/>
        </w:rPr>
        <w:t>Microsoft Entra ID</w:t>
      </w:r>
      <w:bookmarkEnd w:id="109"/>
    </w:p>
    <w:p w14:paraId="76FEADA4" w14:textId="77777777" w:rsidR="004A17FE" w:rsidRPr="00523950" w:rsidRDefault="004A17FE" w:rsidP="004A17FE">
      <w:pPr>
        <w:pStyle w:val="ProductList-Body"/>
        <w:rPr>
          <w:rFonts w:ascii="Calibri" w:hAnsi="Calibri" w:cs="Calibri"/>
          <w:b/>
          <w:color w:val="00188F"/>
        </w:rPr>
      </w:pPr>
      <w:r>
        <w:rPr>
          <w:rFonts w:ascii="Calibri" w:hAnsi="Calibri" w:cs="Calibri"/>
          <w:b/>
          <w:color w:val="00188F"/>
        </w:rPr>
        <w:t>Microsoft Entra ID Basic e Microsoft Entra ID Premium</w:t>
      </w:r>
    </w:p>
    <w:p w14:paraId="0F7DA6FF" w14:textId="77777777" w:rsidR="004A17FE" w:rsidRPr="00523950" w:rsidRDefault="004A17FE" w:rsidP="004A17FE">
      <w:pPr>
        <w:pStyle w:val="ProductList-Body"/>
        <w:rPr>
          <w:rFonts w:ascii="Calibri" w:hAnsi="Calibri" w:cs="Calibri"/>
        </w:rPr>
      </w:pPr>
      <w:r>
        <w:rPr>
          <w:rFonts w:ascii="Calibri" w:hAnsi="Calibri" w:cs="Calibri"/>
          <w:b/>
          <w:color w:val="00188F"/>
        </w:rPr>
        <w:t>Definições Adicionais</w:t>
      </w:r>
      <w:r w:rsidRPr="00D9200D">
        <w:rPr>
          <w:rFonts w:ascii="Calibri" w:hAnsi="Calibri" w:cs="Calibri"/>
          <w:b/>
          <w:bCs/>
        </w:rPr>
        <w:t>:</w:t>
      </w:r>
    </w:p>
    <w:p w14:paraId="627C4154" w14:textId="77777777" w:rsidR="004A17FE" w:rsidRPr="00523950" w:rsidRDefault="004A17FE" w:rsidP="004A17FE">
      <w:pPr>
        <w:pStyle w:val="ProductList-Body"/>
        <w:rPr>
          <w:rFonts w:ascii="Calibri" w:hAnsi="Calibri" w:cs="Calibri"/>
        </w:rPr>
      </w:pPr>
      <w:r>
        <w:rPr>
          <w:rFonts w:ascii="Calibri" w:hAnsi="Calibri" w:cs="Calibri"/>
          <w:b/>
          <w:color w:val="00188F"/>
        </w:rPr>
        <w:t>Período de Indisponibilidade</w:t>
      </w:r>
      <w:r w:rsidRPr="00D9200D">
        <w:rPr>
          <w:rFonts w:ascii="Calibri" w:hAnsi="Calibri" w:cs="Calibri"/>
          <w:b/>
          <w:bCs/>
        </w:rPr>
        <w:t>:</w:t>
      </w:r>
      <w:r>
        <w:rPr>
          <w:rFonts w:ascii="Calibri" w:hAnsi="Calibri" w:cs="Calibri"/>
        </w:rPr>
        <w:t xml:space="preserve"> </w:t>
      </w:r>
      <w:r>
        <w:rPr>
          <w:rFonts w:ascii="Calibri" w:hAnsi="Calibri" w:cs="Calibri"/>
          <w:szCs w:val="18"/>
        </w:rPr>
        <w:t>Qualquer período durante o qual os utilizadores não conseguem iniciar sessão no serviço Microsoft Entra ID ou o Microsoft Entra ID falha ao tentar emitir os tokens de autenticação e autorização para os utilizadores iniciarem sessão em aplicações ligadas ao serviço.</w:t>
      </w:r>
    </w:p>
    <w:p w14:paraId="06A45494" w14:textId="0A6A53C9"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AE99968" w14:textId="3D8F1A8A" w:rsidR="00755B76"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EAF19D3" w14:textId="70B2F6C0" w:rsidR="00755B7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9209FC5" w14:textId="77777777"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4122EE"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277097">
        <w:tc>
          <w:tcPr>
            <w:tcW w:w="5400" w:type="dxa"/>
          </w:tcPr>
          <w:p w14:paraId="3937177C" w14:textId="77777777" w:rsidR="00755B76" w:rsidRPr="00EF7CF9" w:rsidRDefault="00755B76" w:rsidP="00F01ED6">
            <w:pPr>
              <w:pStyle w:val="ProductList-OfferingBody"/>
              <w:jc w:val="center"/>
            </w:pPr>
            <w:r>
              <w:t>&lt; 99,99%</w:t>
            </w:r>
          </w:p>
        </w:tc>
        <w:tc>
          <w:tcPr>
            <w:tcW w:w="5400" w:type="dxa"/>
          </w:tcPr>
          <w:p w14:paraId="118CC8B1" w14:textId="77777777" w:rsidR="00755B76" w:rsidRPr="00EF7CF9" w:rsidRDefault="00755B76" w:rsidP="00F01ED6">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F01ED6">
            <w:pPr>
              <w:pStyle w:val="ProductList-OfferingBody"/>
              <w:jc w:val="center"/>
            </w:pPr>
            <w:r>
              <w:t>&lt; 99,9%</w:t>
            </w:r>
          </w:p>
        </w:tc>
        <w:tc>
          <w:tcPr>
            <w:tcW w:w="5400" w:type="dxa"/>
          </w:tcPr>
          <w:p w14:paraId="00FA81CB" w14:textId="77777777" w:rsidR="00755B76" w:rsidRPr="00EF7CF9" w:rsidRDefault="00755B76" w:rsidP="00F01ED6">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F01ED6">
            <w:pPr>
              <w:pStyle w:val="ProductList-OfferingBody"/>
              <w:jc w:val="center"/>
            </w:pPr>
            <w:r>
              <w:t>&lt; 99%</w:t>
            </w:r>
          </w:p>
        </w:tc>
        <w:tc>
          <w:tcPr>
            <w:tcW w:w="5400" w:type="dxa"/>
          </w:tcPr>
          <w:p w14:paraId="5C3E3871" w14:textId="77777777" w:rsidR="00755B76" w:rsidRPr="00EF7CF9" w:rsidRDefault="00755B76" w:rsidP="00F01ED6">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F01ED6">
            <w:pPr>
              <w:pStyle w:val="ProductList-OfferingBody"/>
              <w:jc w:val="center"/>
            </w:pPr>
            <w:r>
              <w:t>&lt; 95%</w:t>
            </w:r>
          </w:p>
        </w:tc>
        <w:tc>
          <w:tcPr>
            <w:tcW w:w="5400" w:type="dxa"/>
          </w:tcPr>
          <w:p w14:paraId="2D6534FB" w14:textId="77777777" w:rsidR="00755B76" w:rsidRPr="00EF7CF9" w:rsidRDefault="00755B76" w:rsidP="00F01ED6">
            <w:pPr>
              <w:pStyle w:val="ProductList-OfferingBody"/>
              <w:jc w:val="center"/>
            </w:pPr>
            <w:r>
              <w:t>100%</w:t>
            </w:r>
          </w:p>
        </w:tc>
      </w:tr>
    </w:tbl>
    <w:bookmarkStart w:id="113" w:name="_Toc457821530"/>
    <w:bookmarkStart w:id="114" w:name="_Toc52349004"/>
    <w:p w14:paraId="398D2B58"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E0B282" w14:textId="77777777" w:rsidR="00755B76" w:rsidRPr="00EF7CF9" w:rsidRDefault="00755B76" w:rsidP="00F01ED6">
      <w:pPr>
        <w:pStyle w:val="ProductList-Offering2Heading"/>
        <w:tabs>
          <w:tab w:val="clear" w:pos="360"/>
          <w:tab w:val="clear" w:pos="720"/>
          <w:tab w:val="clear" w:pos="1080"/>
        </w:tabs>
        <w:outlineLvl w:val="2"/>
      </w:pPr>
      <w:bookmarkStart w:id="115" w:name="_Toc214456758"/>
      <w:r>
        <w:t>Azure Active Directory B2C</w:t>
      </w:r>
      <w:bookmarkEnd w:id="113"/>
      <w:bookmarkEnd w:id="114"/>
      <w:bookmarkEnd w:id="115"/>
    </w:p>
    <w:p w14:paraId="322D15EB" w14:textId="77777777" w:rsidR="00755B76" w:rsidRPr="00EF7CF9" w:rsidRDefault="00755B76" w:rsidP="00F01ED6">
      <w:pPr>
        <w:pStyle w:val="ProductList-Body"/>
      </w:pPr>
      <w:r>
        <w:rPr>
          <w:b/>
          <w:color w:val="00188F"/>
        </w:rPr>
        <w:t>Definições Adicionais</w:t>
      </w:r>
      <w:r w:rsidRPr="00473DD3">
        <w:rPr>
          <w:b/>
          <w:color w:val="00188F"/>
        </w:rPr>
        <w:t>:</w:t>
      </w:r>
    </w:p>
    <w:p w14:paraId="06AEB968" w14:textId="4E9422E8" w:rsidR="00755B76" w:rsidRPr="00EF7CF9" w:rsidRDefault="00380305" w:rsidP="00F01ED6">
      <w:pPr>
        <w:pStyle w:val="ProductList-Body"/>
      </w:pPr>
      <w:r>
        <w:t>“</w:t>
      </w:r>
      <w:r w:rsidR="00755B76">
        <w:rPr>
          <w:b/>
          <w:color w:val="00188F"/>
        </w:rPr>
        <w:t>Minutos de Implementação</w:t>
      </w:r>
      <w:r>
        <w:t>”</w:t>
      </w:r>
      <w:r w:rsidR="00755B76">
        <w:t xml:space="preserve"> designa o número total de minutos para os quais um diretório do Azure AD B2C foi implementado durante um Período Aplicável.</w:t>
      </w:r>
    </w:p>
    <w:p w14:paraId="780B86DF" w14:textId="4744DAE1" w:rsidR="00755B76" w:rsidRPr="00EF7CF9" w:rsidRDefault="00380305" w:rsidP="00F01ED6">
      <w:pPr>
        <w:pStyle w:val="ProductList-Body"/>
      </w:pPr>
      <w:r>
        <w:t>“</w:t>
      </w:r>
      <w:r w:rsidR="00755B76">
        <w:rPr>
          <w:b/>
          <w:color w:val="00188F"/>
        </w:rPr>
        <w:t>Máximo de Minutos Disponíveis</w:t>
      </w:r>
      <w:r>
        <w:t>”</w:t>
      </w:r>
      <w:r w:rsidR="00755B76">
        <w:t xml:space="preserve"> designa a soma de todos os Minutos de Implementação em todos os Azure AD B2C numa determinada subscrição do Microsoft Azure durante um Período Aplicável. </w:t>
      </w:r>
    </w:p>
    <w:p w14:paraId="19F0FA33" w14:textId="6C287562" w:rsidR="00755B76" w:rsidRPr="00EF7CF9" w:rsidRDefault="00755B76" w:rsidP="00F01ED6">
      <w:pPr>
        <w:pStyle w:val="ProductList-Body"/>
      </w:pPr>
      <w:r>
        <w:rPr>
          <w:b/>
          <w:color w:val="00188F"/>
        </w:rPr>
        <w:t>Período de Indisponibilidade</w:t>
      </w:r>
      <w:r w:rsidRPr="00473DD3">
        <w:rPr>
          <w:b/>
          <w:color w:val="00188F"/>
        </w:rPr>
        <w:t>:</w:t>
      </w:r>
      <w:r>
        <w:t xml:space="preserve"> designa o total de minutos acumulados em todos os diretórios do Azure AD B2C implementados pelo Cliente numa determinada subscrição do Microsoft Azure durante a qual o serviço Azure AD B2C está indisponível. Considera-se um minuto como indisponível quando todas as tentativas de processamento da inscrição e do início de sessão dos utilizadores falham na devolução de tokens ou Códigos de Erro</w:t>
      </w:r>
      <w:r w:rsidR="0091227A">
        <w:t> </w:t>
      </w:r>
      <w:r>
        <w:t>válidos, ou não devolvem respostas num prazo de dois minutos.</w:t>
      </w:r>
    </w:p>
    <w:p w14:paraId="434CF9C7" w14:textId="48B982A8"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0117607" w14:textId="4CEEEE49" w:rsidR="00755B76" w:rsidRPr="00EF7CF9" w:rsidRDefault="00000000" w:rsidP="0056694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8E9AF66" w14:textId="2F562858"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764696"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277097">
        <w:tc>
          <w:tcPr>
            <w:tcW w:w="5400" w:type="dxa"/>
          </w:tcPr>
          <w:p w14:paraId="6F12552A" w14:textId="77777777" w:rsidR="00755B76" w:rsidRPr="00EF7CF9" w:rsidRDefault="00755B76" w:rsidP="00F01ED6">
            <w:pPr>
              <w:pStyle w:val="ProductList-OfferingBody"/>
              <w:jc w:val="center"/>
            </w:pPr>
            <w:r>
              <w:t>&lt; 99,99%</w:t>
            </w:r>
          </w:p>
        </w:tc>
        <w:tc>
          <w:tcPr>
            <w:tcW w:w="5400" w:type="dxa"/>
          </w:tcPr>
          <w:p w14:paraId="2D5A2E56" w14:textId="77777777" w:rsidR="00755B76" w:rsidRPr="00EF7CF9" w:rsidRDefault="00755B76" w:rsidP="00F01ED6">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F01ED6">
            <w:pPr>
              <w:pStyle w:val="ProductList-OfferingBody"/>
              <w:jc w:val="center"/>
            </w:pPr>
            <w:r>
              <w:t>&lt; 99,9%</w:t>
            </w:r>
          </w:p>
        </w:tc>
        <w:tc>
          <w:tcPr>
            <w:tcW w:w="5400" w:type="dxa"/>
          </w:tcPr>
          <w:p w14:paraId="2B621F20" w14:textId="77777777" w:rsidR="00755B76" w:rsidRPr="00EF7CF9" w:rsidRDefault="00755B76" w:rsidP="00F01ED6">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F01ED6">
            <w:pPr>
              <w:pStyle w:val="ProductList-OfferingBody"/>
              <w:jc w:val="center"/>
            </w:pPr>
            <w:r>
              <w:t>&lt; 99%</w:t>
            </w:r>
          </w:p>
        </w:tc>
        <w:tc>
          <w:tcPr>
            <w:tcW w:w="5400" w:type="dxa"/>
          </w:tcPr>
          <w:p w14:paraId="0AAEA41D" w14:textId="77777777" w:rsidR="00755B76" w:rsidRPr="00EF7CF9" w:rsidRDefault="00755B76" w:rsidP="00F01ED6">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F01ED6">
            <w:pPr>
              <w:pStyle w:val="ProductList-OfferingBody"/>
              <w:jc w:val="center"/>
            </w:pPr>
            <w:r>
              <w:t>&lt; 95%</w:t>
            </w:r>
          </w:p>
        </w:tc>
        <w:tc>
          <w:tcPr>
            <w:tcW w:w="5400" w:type="dxa"/>
          </w:tcPr>
          <w:p w14:paraId="5F0AE2B0" w14:textId="77777777" w:rsidR="00755B76" w:rsidRPr="00EF7CF9" w:rsidRDefault="00755B76" w:rsidP="00F01ED6">
            <w:pPr>
              <w:pStyle w:val="ProductList-OfferingBody"/>
              <w:jc w:val="center"/>
            </w:pPr>
            <w:r>
              <w:t>100%</w:t>
            </w:r>
          </w:p>
        </w:tc>
      </w:tr>
    </w:tbl>
    <w:p w14:paraId="7EA83E7D"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CD06780" w14:textId="74633485" w:rsidR="004005AF" w:rsidRPr="00EF7CF9" w:rsidRDefault="004A17FE" w:rsidP="00F01ED6">
      <w:pPr>
        <w:pStyle w:val="ProductList-Offering2Heading"/>
        <w:tabs>
          <w:tab w:val="clear" w:pos="360"/>
          <w:tab w:val="clear" w:pos="720"/>
          <w:tab w:val="clear" w:pos="1080"/>
        </w:tabs>
        <w:outlineLvl w:val="2"/>
      </w:pPr>
      <w:bookmarkStart w:id="116" w:name="_Toc214456759"/>
      <w:r>
        <w:t>Microsoft Entra</w:t>
      </w:r>
      <w:r w:rsidR="004005AF">
        <w:t xml:space="preserve"> Domain Services</w:t>
      </w:r>
      <w:bookmarkEnd w:id="110"/>
      <w:bookmarkEnd w:id="116"/>
    </w:p>
    <w:p w14:paraId="721F8060" w14:textId="77777777" w:rsidR="004005AF" w:rsidRPr="00EF7CF9" w:rsidRDefault="004005AF" w:rsidP="00F01ED6">
      <w:pPr>
        <w:pStyle w:val="ProductList-Body"/>
      </w:pPr>
      <w:r>
        <w:rPr>
          <w:b/>
          <w:color w:val="00188F"/>
        </w:rPr>
        <w:t>Definições Adicionais</w:t>
      </w:r>
      <w:r w:rsidRPr="00473DD3">
        <w:rPr>
          <w:b/>
          <w:color w:val="00188F"/>
        </w:rPr>
        <w:t>:</w:t>
      </w:r>
    </w:p>
    <w:p w14:paraId="3D8CCBC6" w14:textId="62383CEA" w:rsidR="004005AF" w:rsidRPr="00EF7CF9" w:rsidRDefault="00380305" w:rsidP="00F01ED6">
      <w:pPr>
        <w:spacing w:after="0" w:line="240" w:lineRule="auto"/>
        <w:rPr>
          <w:sz w:val="18"/>
        </w:rPr>
      </w:pPr>
      <w:r>
        <w:rPr>
          <w:sz w:val="18"/>
        </w:rPr>
        <w:t>“</w:t>
      </w:r>
      <w:r w:rsidR="004005AF">
        <w:rPr>
          <w:b/>
          <w:color w:val="00188F"/>
          <w:sz w:val="18"/>
        </w:rPr>
        <w:t>Domínio Gerido</w:t>
      </w:r>
      <w:r>
        <w:rPr>
          <w:sz w:val="18"/>
        </w:rPr>
        <w:t>”</w:t>
      </w:r>
      <w:r w:rsidR="004005AF">
        <w:rPr>
          <w:sz w:val="18"/>
        </w:rPr>
        <w:t xml:space="preserve"> </w:t>
      </w:r>
      <w:r w:rsidR="00DB405B">
        <w:rPr>
          <w:rFonts w:ascii="Calibri" w:hAnsi="Calibri" w:cs="Calibri"/>
          <w:sz w:val="18"/>
        </w:rPr>
        <w:t>designa um domínio do Active Directory que é aprovisionado e gerido pelo Microsoft Entra Domain Services</w:t>
      </w:r>
    </w:p>
    <w:p w14:paraId="5D725028" w14:textId="6F59D178" w:rsidR="004005AF" w:rsidRPr="00EF7CF9"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Domínio Gerido foi implementado pelo Cliente no Microsoft Azure durante um Período Aplicável numa determinada subscrição do Microsoft Azure. </w:t>
      </w:r>
    </w:p>
    <w:p w14:paraId="0579F796" w14:textId="3C0B6E0E"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total de minutos acumulados durante um Período Aplicável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331BDBEE" w14:textId="47099692"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46E9969E" w14:textId="10092107" w:rsidR="004005AF" w:rsidRPr="00A2017D" w:rsidRDefault="00000000" w:rsidP="005669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97C9CA5" w14:textId="77777777" w:rsidR="009A306C" w:rsidRPr="00523950" w:rsidRDefault="009A306C" w:rsidP="009A306C">
      <w:pPr>
        <w:pStyle w:val="ProductList-Body"/>
        <w:rPr>
          <w:rFonts w:ascii="Calibri" w:hAnsi="Calibri" w:cs="Calibri"/>
        </w:rPr>
      </w:pPr>
      <w:r>
        <w:rPr>
          <w:rFonts w:ascii="Calibri" w:hAnsi="Calibri" w:cs="Calibri"/>
          <w:b/>
          <w:color w:val="00188F"/>
        </w:rPr>
        <w:t>Os Níveis de Serviço e os Créditos de Serviço são aplicáveis à utilização que o Cliente faz do Microsoft Entra Domain Services</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5748E1"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277097">
        <w:tc>
          <w:tcPr>
            <w:tcW w:w="5400" w:type="dxa"/>
          </w:tcPr>
          <w:p w14:paraId="57774921" w14:textId="77777777" w:rsidR="004005AF" w:rsidRPr="00EF7CF9" w:rsidRDefault="004005AF" w:rsidP="00F01ED6">
            <w:pPr>
              <w:pStyle w:val="ProductList-OfferingBody"/>
              <w:jc w:val="center"/>
            </w:pPr>
            <w:r>
              <w:t>&lt; 99,9%</w:t>
            </w:r>
          </w:p>
        </w:tc>
        <w:tc>
          <w:tcPr>
            <w:tcW w:w="5400" w:type="dxa"/>
          </w:tcPr>
          <w:p w14:paraId="163D5793" w14:textId="77777777" w:rsidR="004005AF" w:rsidRPr="00EF7CF9" w:rsidRDefault="004005AF" w:rsidP="00F01ED6">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F01ED6">
            <w:pPr>
              <w:pStyle w:val="ProductList-OfferingBody"/>
              <w:keepNext/>
              <w:jc w:val="center"/>
            </w:pPr>
            <w:r>
              <w:t>&lt; 99%</w:t>
            </w:r>
          </w:p>
        </w:tc>
        <w:tc>
          <w:tcPr>
            <w:tcW w:w="5400" w:type="dxa"/>
          </w:tcPr>
          <w:p w14:paraId="6415A1FD" w14:textId="77777777" w:rsidR="004005AF" w:rsidRPr="00EF7CF9" w:rsidRDefault="004005AF" w:rsidP="00F01ED6">
            <w:pPr>
              <w:pStyle w:val="ProductList-OfferingBody"/>
              <w:jc w:val="center"/>
            </w:pPr>
            <w:r>
              <w:t>25%</w:t>
            </w:r>
          </w:p>
        </w:tc>
      </w:tr>
    </w:tbl>
    <w:bookmarkStart w:id="117" w:name="_Toc52348917"/>
    <w:p w14:paraId="455A63F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CEBBAD9" w14:textId="77777777" w:rsidR="004005AF" w:rsidRPr="00EF7CF9" w:rsidRDefault="004005AF" w:rsidP="00F01ED6">
      <w:pPr>
        <w:pStyle w:val="ProductList-Offering2Heading"/>
        <w:tabs>
          <w:tab w:val="clear" w:pos="360"/>
          <w:tab w:val="clear" w:pos="720"/>
          <w:tab w:val="clear" w:pos="1080"/>
        </w:tabs>
        <w:outlineLvl w:val="2"/>
      </w:pPr>
      <w:bookmarkStart w:id="118" w:name="_Toc214456760"/>
      <w:r>
        <w:t>Analysis Services</w:t>
      </w:r>
      <w:bookmarkEnd w:id="117"/>
      <w:bookmarkEnd w:id="118"/>
    </w:p>
    <w:p w14:paraId="5A6C05E0" w14:textId="77777777" w:rsidR="004005AF" w:rsidRPr="00EF7CF9" w:rsidRDefault="004005AF" w:rsidP="00F01ED6">
      <w:pPr>
        <w:pStyle w:val="ProductList-Body"/>
      </w:pPr>
      <w:r>
        <w:rPr>
          <w:b/>
          <w:color w:val="00188F"/>
        </w:rPr>
        <w:t>Definições Adicionais</w:t>
      </w:r>
      <w:r w:rsidRPr="00473DD3">
        <w:rPr>
          <w:b/>
          <w:color w:val="00188F"/>
        </w:rPr>
        <w:t>:</w:t>
      </w:r>
    </w:p>
    <w:p w14:paraId="7D2A438E" w14:textId="66227AC1" w:rsidR="004005AF" w:rsidRPr="00EF7CF9" w:rsidRDefault="00380305" w:rsidP="00F01ED6">
      <w:pPr>
        <w:pStyle w:val="ProductList-Body"/>
      </w:pPr>
      <w:r>
        <w:t>“</w:t>
      </w:r>
      <w:r w:rsidR="004005AF">
        <w:rPr>
          <w:b/>
          <w:color w:val="00188F"/>
        </w:rPr>
        <w:t>Servir</w:t>
      </w:r>
      <w:r>
        <w:t>”</w:t>
      </w:r>
      <w:r w:rsidR="004005AF">
        <w:t xml:space="preserve"> designa qualquer servidor do Azure Analysis Services. </w:t>
      </w:r>
    </w:p>
    <w:p w14:paraId="596E8EFA" w14:textId="55FA2EEC" w:rsidR="004005AF" w:rsidRPr="00EF7CF9" w:rsidRDefault="00380305" w:rsidP="00F01ED6">
      <w:pPr>
        <w:pStyle w:val="ProductList-Body"/>
      </w:pPr>
      <w:r>
        <w:t>“</w:t>
      </w:r>
      <w:r w:rsidR="004005AF">
        <w:rPr>
          <w:b/>
          <w:color w:val="00188F"/>
        </w:rPr>
        <w:t>Máximo de Minutos Disponíveis</w:t>
      </w:r>
      <w:r>
        <w:t>”</w:t>
      </w:r>
      <w:r w:rsidR="004005AF">
        <w:t xml:space="preserve"> designa o número total de minutos durante os quais um determinado Servidor foi implementado no Microsoft Azure durante um Período Aplicável numa determinada subscrição do Microsoft Azure. </w:t>
      </w:r>
    </w:p>
    <w:p w14:paraId="016FF859" w14:textId="7CDC413D" w:rsidR="004005AF" w:rsidRPr="00EF7CF9" w:rsidRDefault="00380305" w:rsidP="00F01ED6">
      <w:pPr>
        <w:pStyle w:val="ProductList-Body"/>
      </w:pPr>
      <w:r>
        <w:t>“</w:t>
      </w:r>
      <w:r w:rsidR="004005AF">
        <w:rPr>
          <w:b/>
          <w:color w:val="00188F"/>
        </w:rPr>
        <w:t>Operações do Cliente</w:t>
      </w:r>
      <w:r>
        <w:t>”</w:t>
      </w:r>
      <w:r w:rsidR="004005AF">
        <w:t xml:space="preserve"> é o conjunto de todas as operações documentadas suportadas pelo Azure Analysis Services. </w:t>
      </w:r>
    </w:p>
    <w:p w14:paraId="21FC0AC4" w14:textId="4307BA23" w:rsidR="004005AF" w:rsidRPr="00EF7CF9" w:rsidRDefault="004005AF" w:rsidP="00F01ED6">
      <w:pPr>
        <w:pStyle w:val="ProductList-Body"/>
      </w:pPr>
      <w:r>
        <w:rPr>
          <w:b/>
          <w:color w:val="00188F"/>
        </w:rPr>
        <w:t>Período de Indisponibilidade</w:t>
      </w:r>
      <w:r w:rsidRPr="00473DD3">
        <w:rPr>
          <w:b/>
          <w:color w:val="00188F"/>
        </w:rPr>
        <w:t>:</w:t>
      </w:r>
      <w:r>
        <w:t xml:space="preserve"> designa o total de minutos acumulados durante um Período Aplicável para uma determinada subscrição do Microsoft Azure durante o qual uma determinada Base de Dados está indisponível. Um minuto é considerado indisponível para um determinado Servidor se mais de 1% de todas as Operações do Cliente completadas durante esse minuto devolverem um Código de Erro.</w:t>
      </w:r>
    </w:p>
    <w:p w14:paraId="721BF4F7" w14:textId="5FFD455B" w:rsidR="004005AF" w:rsidRPr="00EF7CF9" w:rsidRDefault="00AC48A7" w:rsidP="00F01ED6">
      <w:pPr>
        <w:pStyle w:val="ProductList-Body"/>
      </w:pPr>
      <w:r>
        <w:rPr>
          <w:b/>
          <w:color w:val="00188F"/>
        </w:rPr>
        <w:lastRenderedPageBreak/>
        <w:t>Percentagem de Período de Disponibilidade</w:t>
      </w:r>
      <w:r w:rsidRPr="00473DD3">
        <w:rPr>
          <w:b/>
          <w:color w:val="00188F"/>
        </w:rPr>
        <w:t>:</w:t>
      </w:r>
      <w:r>
        <w:t xml:space="preserve"> A Percentagem de Período de Disponibilidade para um determinado Servidor é calculada com a</w:t>
      </w:r>
      <w:r w:rsidR="008331CE">
        <w:t> </w:t>
      </w:r>
      <w:r>
        <w:t xml:space="preserve">seguinte fórmula: </w:t>
      </w:r>
    </w:p>
    <w:p w14:paraId="2CB3F24D" w14:textId="1E9CE803" w:rsidR="004005AF" w:rsidRPr="00EF7CF9" w:rsidRDefault="00000000" w:rsidP="0056694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63417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D0CF539"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277097">
        <w:tc>
          <w:tcPr>
            <w:tcW w:w="5400" w:type="dxa"/>
          </w:tcPr>
          <w:p w14:paraId="300AB5B4" w14:textId="77777777" w:rsidR="004005AF" w:rsidRPr="00EF7CF9" w:rsidRDefault="004005AF" w:rsidP="00F01ED6">
            <w:pPr>
              <w:pStyle w:val="ProductList-OfferingBody"/>
              <w:jc w:val="center"/>
            </w:pPr>
            <w:r>
              <w:t>&lt; 99,9%</w:t>
            </w:r>
          </w:p>
        </w:tc>
        <w:tc>
          <w:tcPr>
            <w:tcW w:w="5400" w:type="dxa"/>
          </w:tcPr>
          <w:p w14:paraId="25E97EF4" w14:textId="77777777" w:rsidR="004005AF" w:rsidRPr="00EF7CF9" w:rsidRDefault="004005AF" w:rsidP="00F01ED6">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F01ED6">
            <w:pPr>
              <w:pStyle w:val="ProductList-OfferingBody"/>
              <w:jc w:val="center"/>
            </w:pPr>
            <w:r>
              <w:t>&lt; 99%</w:t>
            </w:r>
          </w:p>
        </w:tc>
        <w:tc>
          <w:tcPr>
            <w:tcW w:w="5400" w:type="dxa"/>
          </w:tcPr>
          <w:p w14:paraId="57833F2A" w14:textId="77777777" w:rsidR="004005AF" w:rsidRPr="00EF7CF9" w:rsidRDefault="004005AF" w:rsidP="00F01ED6">
            <w:pPr>
              <w:pStyle w:val="ProductList-OfferingBody"/>
              <w:jc w:val="center"/>
            </w:pPr>
            <w:r>
              <w:t>25%</w:t>
            </w:r>
          </w:p>
        </w:tc>
      </w:tr>
    </w:tbl>
    <w:bookmarkStart w:id="119" w:name="_Toc52348918"/>
    <w:p w14:paraId="57E47E4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B89434" w14:textId="77777777" w:rsidR="00BE5E98" w:rsidRPr="00966705" w:rsidRDefault="00BE5E98" w:rsidP="00F01ED6">
      <w:pPr>
        <w:pStyle w:val="ProductList-Offering2Heading"/>
        <w:keepNext/>
        <w:tabs>
          <w:tab w:val="clear" w:pos="360"/>
          <w:tab w:val="clear" w:pos="720"/>
          <w:tab w:val="clear" w:pos="1080"/>
        </w:tabs>
        <w:outlineLvl w:val="2"/>
      </w:pPr>
      <w:bookmarkStart w:id="120" w:name="_Toc214456761"/>
      <w:r>
        <w:t>Azure API for FHIR</w:t>
      </w:r>
      <w:bookmarkEnd w:id="120"/>
    </w:p>
    <w:p w14:paraId="0D1A6CEE" w14:textId="640920AB" w:rsidR="00BE5E98" w:rsidRDefault="00380305" w:rsidP="00F01ED6">
      <w:pPr>
        <w:pStyle w:val="ProductList-Body"/>
      </w:pPr>
      <w:r>
        <w:t>“</w:t>
      </w:r>
      <w:r w:rsidR="00BE5E98">
        <w:rPr>
          <w:b/>
          <w:color w:val="00188F"/>
        </w:rPr>
        <w:t>Total de Tentativas de Transação</w:t>
      </w:r>
      <w:r>
        <w:t>”</w:t>
      </w:r>
      <w:r w:rsidR="00BE5E98">
        <w:t xml:space="preserve"> é o número total de pedidos autenticados do Azure API for FHIR efetuado pelo Cliente durante um Período Aplicável para uma determinada subscrição do Microsoft Azure. O Total de Tentativas de Transação não inclui os pedidos de API que devolvem um</w:t>
      </w:r>
      <w:r w:rsidR="00332CEE">
        <w:t> </w:t>
      </w:r>
      <w:r w:rsidR="00BE5E98">
        <w:t>Código de Erro e que são repetidos continuamente num intervalo de cinco minutos após a receção do primeiro Código de Erro.</w:t>
      </w:r>
    </w:p>
    <w:p w14:paraId="08CF0094" w14:textId="4A3C71FB" w:rsidR="00BE5E98" w:rsidRDefault="00380305" w:rsidP="00F01ED6">
      <w:pPr>
        <w:pStyle w:val="ProductList-Body"/>
      </w:pPr>
      <w:r>
        <w:t>“</w:t>
      </w:r>
      <w:r w:rsidR="00BE5E98">
        <w:rPr>
          <w:b/>
          <w:color w:val="00188F"/>
        </w:rPr>
        <w:t>Transações com Falha</w:t>
      </w:r>
      <w:r>
        <w:t>”</w:t>
      </w:r>
      <w:r w:rsidR="00BE5E98">
        <w:t xml:space="preserve"> é o conjunto de todos os pedidos incluídos no Total de Tentativas de Transação que resultam num Código de Erro ou que, de outro modo, não devolvem um Código de Êxito no prazo de 60 segundos após a receção por parte do Serviço Azure API for FHIR.</w:t>
      </w:r>
    </w:p>
    <w:p w14:paraId="63162907" w14:textId="79B0863D" w:rsidR="00BE5E98" w:rsidRPr="00E53123" w:rsidRDefault="00EE6E3C" w:rsidP="00F01ED6">
      <w:pPr>
        <w:pStyle w:val="ProductList-Body"/>
        <w:rPr>
          <w:b/>
          <w:color w:val="00188F"/>
        </w:rPr>
      </w:pPr>
      <w:r>
        <w:rPr>
          <w:b/>
          <w:color w:val="00188F"/>
        </w:rPr>
        <w:t>Cálculo do Período de Disponibilidade</w:t>
      </w:r>
    </w:p>
    <w:p w14:paraId="6430E0E2" w14:textId="112D934C" w:rsidR="00BE5E98" w:rsidRDefault="00BE5E98" w:rsidP="00F01ED6">
      <w:pPr>
        <w:pStyle w:val="ProductList-Body"/>
      </w:pPr>
      <w:r>
        <w:t xml:space="preserve">A </w:t>
      </w:r>
      <w:r w:rsidR="00380305">
        <w:t>“</w:t>
      </w:r>
      <w:r>
        <w:t>Percentagem de Período de Disponibilidade</w:t>
      </w:r>
      <w:r w:rsidR="00380305">
        <w:t>”</w:t>
      </w:r>
      <w:r>
        <w:t xml:space="preserve"> para o Azure API for FHIR é calculada como o Total de Tentativas de Transação menos as Transações com Falha dividido pelo Total de Tentativas de Transação multiplicado por 100. A Percentagem de Período de Disponibilidade é</w:t>
      </w:r>
      <w:r w:rsidR="00F44E86">
        <w:t> </w:t>
      </w:r>
      <w:r>
        <w:t>representada pela seguinte fórmula:</w:t>
      </w:r>
    </w:p>
    <w:p w14:paraId="4F5A4D70" w14:textId="64DAC331" w:rsidR="00BE5E9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49903A9B" w14:textId="77777777" w:rsidR="00BE5E98" w:rsidRDefault="00BE5E98" w:rsidP="00F01ED6">
      <w:pPr>
        <w:pStyle w:val="ProductList-Body"/>
      </w:pPr>
      <w:r>
        <w:t>Os seguintes Níveis de Serviço e Créditos de Serviço são aplicáveis ao Azure API for FHIR:</w:t>
      </w:r>
    </w:p>
    <w:p w14:paraId="3D2538E1" w14:textId="77777777" w:rsidR="00BE5E98" w:rsidRPr="00EF7CF9" w:rsidRDefault="00BE5E9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46F761" w14:textId="77777777" w:rsidR="00BE5E98" w:rsidRPr="00EF7CF9" w:rsidRDefault="00BE5E98" w:rsidP="00F01ED6">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0F31B4">
        <w:tc>
          <w:tcPr>
            <w:tcW w:w="5400" w:type="dxa"/>
          </w:tcPr>
          <w:p w14:paraId="5ED40FF8" w14:textId="77777777" w:rsidR="00BE5E98" w:rsidRPr="00EF7CF9" w:rsidRDefault="00BE5E98" w:rsidP="00F01ED6">
            <w:pPr>
              <w:pStyle w:val="ProductList-OfferingBody"/>
              <w:jc w:val="center"/>
            </w:pPr>
            <w:r>
              <w:t>&lt; 99,9%</w:t>
            </w:r>
          </w:p>
        </w:tc>
        <w:tc>
          <w:tcPr>
            <w:tcW w:w="5400" w:type="dxa"/>
          </w:tcPr>
          <w:p w14:paraId="087584E0" w14:textId="77777777" w:rsidR="00BE5E98" w:rsidRPr="00EF7CF9" w:rsidRDefault="00BE5E98" w:rsidP="00F01ED6">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F01ED6">
            <w:pPr>
              <w:pStyle w:val="ProductList-OfferingBody"/>
              <w:jc w:val="center"/>
            </w:pPr>
            <w:r>
              <w:t>&lt; 99%</w:t>
            </w:r>
          </w:p>
        </w:tc>
        <w:tc>
          <w:tcPr>
            <w:tcW w:w="5400" w:type="dxa"/>
          </w:tcPr>
          <w:p w14:paraId="65D28BFB" w14:textId="77777777" w:rsidR="00BE5E98" w:rsidRPr="00EF7CF9" w:rsidRDefault="00BE5E98" w:rsidP="00F01ED6">
            <w:pPr>
              <w:pStyle w:val="ProductList-OfferingBody"/>
              <w:jc w:val="center"/>
            </w:pPr>
            <w:r>
              <w:t>25%</w:t>
            </w:r>
          </w:p>
        </w:tc>
      </w:tr>
    </w:tbl>
    <w:p w14:paraId="68E8639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5A2758E" w14:textId="5CC89C70" w:rsidR="001D4537" w:rsidRDefault="00927E3F" w:rsidP="00173870">
      <w:pPr>
        <w:pStyle w:val="ProductList-Offering2Heading"/>
        <w:keepNext/>
        <w:keepLines/>
        <w:tabs>
          <w:tab w:val="clear" w:pos="360"/>
          <w:tab w:val="clear" w:pos="720"/>
          <w:tab w:val="clear" w:pos="1080"/>
        </w:tabs>
        <w:outlineLvl w:val="2"/>
        <w:rPr>
          <w:rFonts w:ascii="Calibri Light (Heading)" w:hAnsi="Calibri Light (Heading)" w:cs="Calibri Light"/>
        </w:rPr>
      </w:pPr>
      <w:bookmarkStart w:id="121" w:name="_Toc214456762"/>
      <w:r>
        <w:t>Servi</w:t>
      </w:r>
      <w:r w:rsidR="00B06335">
        <w:rPr>
          <w:rFonts w:ascii="Calibri Light (Heading)" w:hAnsi="Calibri Light (Heading)" w:cs="Calibri Light"/>
        </w:rPr>
        <w:t>ços do Centro de APIs</w:t>
      </w:r>
      <w:bookmarkEnd w:id="121"/>
    </w:p>
    <w:p w14:paraId="1E0F5010" w14:textId="2FED247B" w:rsidR="00A5229D" w:rsidRPr="0018346E" w:rsidRDefault="00A5229D" w:rsidP="00A5229D">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Definições Adicionais:</w:t>
      </w:r>
    </w:p>
    <w:p w14:paraId="4C7F3786" w14:textId="379D4BD0" w:rsidR="00A5229D" w:rsidRPr="0018346E" w:rsidRDefault="00A5229D" w:rsidP="00A5229D">
      <w:pPr>
        <w:spacing w:after="0" w:line="240" w:lineRule="auto"/>
        <w:textAlignment w:val="baseline"/>
        <w:rPr>
          <w:rFonts w:ascii="Calibri" w:eastAsia="Calibri" w:hAnsi="Calibri" w:cs="Arial"/>
          <w:sz w:val="18"/>
        </w:rPr>
      </w:pPr>
      <w:r>
        <w:rPr>
          <w:rFonts w:ascii="Calibri" w:hAnsi="Calibri" w:cs="Calibri"/>
          <w:b/>
          <w:color w:val="00188F"/>
          <w:sz w:val="18"/>
          <w:szCs w:val="18"/>
        </w:rPr>
        <w:t>Minutos de Implementação:</w:t>
      </w:r>
      <w:r>
        <w:rPr>
          <w:rFonts w:ascii="Calibri" w:eastAsia="Calibri" w:hAnsi="Calibri" w:cs="Arial"/>
          <w:color w:val="FF0000"/>
          <w:sz w:val="18"/>
        </w:rPr>
        <w:t xml:space="preserve"> </w:t>
      </w:r>
      <w:r>
        <w:rPr>
          <w:rFonts w:ascii="Calibri" w:eastAsia="Calibri" w:hAnsi="Calibri" w:cs="Arial"/>
          <w:sz w:val="18"/>
        </w:rPr>
        <w:t>designa o número total de minutos para os quais uma instância do Centro de APIs foi comprada durante um Período Aplicável.</w:t>
      </w:r>
    </w:p>
    <w:p w14:paraId="4781F4FC" w14:textId="28724F31" w:rsidR="00A5229D" w:rsidRPr="0018346E" w:rsidRDefault="00A5229D" w:rsidP="00A5229D">
      <w:pPr>
        <w:spacing w:after="0" w:line="240" w:lineRule="auto"/>
        <w:textAlignment w:val="baseline"/>
        <w:rPr>
          <w:rFonts w:ascii="Calibri" w:eastAsia="Calibri" w:hAnsi="Calibri" w:cs="Arial"/>
          <w:sz w:val="18"/>
        </w:rPr>
      </w:pPr>
      <w:r>
        <w:rPr>
          <w:rFonts w:ascii="Calibri" w:hAnsi="Calibri" w:cs="Calibri"/>
          <w:b/>
          <w:color w:val="00188F"/>
          <w:sz w:val="18"/>
          <w:szCs w:val="18"/>
        </w:rPr>
        <w:t>Ativos:</w:t>
      </w:r>
      <w:r>
        <w:rPr>
          <w:rFonts w:ascii="Calibri" w:eastAsia="Calibri" w:hAnsi="Calibri" w:cs="Arial"/>
          <w:sz w:val="18"/>
        </w:rPr>
        <w:t xml:space="preserve"> designa qualquer registo de ativos do Centro de APIs numa instância do Centro de APIs (tais como APIs, Definições de APIs, Versões de APIs, Implementações de APIs, Ambientes, Metadados).</w:t>
      </w:r>
    </w:p>
    <w:p w14:paraId="5FA03133" w14:textId="4454E278"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Máximo de Minutos Disponíveis:</w:t>
      </w:r>
      <w:r>
        <w:rPr>
          <w:rFonts w:ascii="Calibri" w:eastAsia="Calibri" w:hAnsi="Calibri" w:cs="Arial"/>
          <w:color w:val="FF0000"/>
          <w:sz w:val="18"/>
        </w:rPr>
        <w:t xml:space="preserve"> </w:t>
      </w:r>
      <w:r>
        <w:rPr>
          <w:rFonts w:ascii="Calibri" w:eastAsia="Calibri" w:hAnsi="Calibri" w:cs="Arial"/>
          <w:sz w:val="18"/>
        </w:rPr>
        <w:t>designa a soma de todos os Minutos de Implementação para uma instância do Centro de APIs Dados associada a uma determinada subscrição do Microsoft Azure durante um Período Aplicável.</w:t>
      </w:r>
    </w:p>
    <w:p w14:paraId="1F8C6093" w14:textId="0780DD01"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Período de Indisponibilidade:</w:t>
      </w:r>
      <w:r>
        <w:rPr>
          <w:rFonts w:ascii="Calibri" w:eastAsia="Calibri" w:hAnsi="Calibri" w:cs="Arial"/>
          <w:color w:val="FF0000"/>
          <w:sz w:val="18"/>
        </w:rPr>
        <w:t xml:space="preserve"> </w:t>
      </w:r>
      <w:r>
        <w:rPr>
          <w:rFonts w:ascii="Calibri" w:eastAsia="Calibri" w:hAnsi="Calibri" w:cs="Arial"/>
          <w:sz w:val="18"/>
        </w:rPr>
        <w:t>designa o total acumulado de minutos durante o qual um determinado plano de dados do Centro de APIs está indisponível. Um minuto é considerado indisponível para uma determinada instância do Centro de APIs se todas as tentativas pelos utilizadores para executar chamadas de API dentro do plano de dados do Centro de APIs resultarem num Código de Erro ou não devolverem uma resposta no prazo de cinco minutos.</w:t>
      </w:r>
    </w:p>
    <w:p w14:paraId="6761A238" w14:textId="75AB26CF"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Percentagem de Período de Disponibilidade:</w:t>
      </w:r>
      <w:r>
        <w:rPr>
          <w:rFonts w:ascii="Calibri" w:eastAsia="Calibri" w:hAnsi="Calibri" w:cs="Arial"/>
          <w:color w:val="FF0000"/>
          <w:sz w:val="18"/>
        </w:rPr>
        <w:t xml:space="preserve"> </w:t>
      </w:r>
      <w:r>
        <w:rPr>
          <w:rFonts w:ascii="Calibri" w:eastAsia="Calibri" w:hAnsi="Calibri" w:cs="Arial"/>
          <w:sz w:val="18"/>
        </w:rPr>
        <w:t>A Percentagem de Período de Disponibilidade é calculada através da seguinte fórmula:</w:t>
      </w:r>
    </w:p>
    <w:p w14:paraId="3AA2CDD2" w14:textId="77777777" w:rsidR="00A5229D" w:rsidRPr="005D18E1" w:rsidRDefault="00000000" w:rsidP="0065049D">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Disponíveis-Período de Indisponibilidade </m:t>
              </m:r>
            </m:num>
            <m:den>
              <m:r>
                <w:rPr>
                  <w:rFonts w:ascii="Cambria Math" w:eastAsia="Calibri" w:hAnsi="Cambria Math" w:cs="Arial"/>
                  <w:sz w:val="18"/>
                  <w:szCs w:val="18"/>
                </w:rPr>
                <m:t>Máximo de Minutos Disponíveis</m:t>
              </m:r>
            </m:den>
          </m:f>
          <m:r>
            <w:rPr>
              <w:rFonts w:ascii="Cambria Math" w:eastAsia="Calibri" w:hAnsi="Cambria Math" w:cs="Arial"/>
              <w:sz w:val="18"/>
              <w:szCs w:val="18"/>
            </w:rPr>
            <m:t xml:space="preserve"> x 100</m:t>
          </m:r>
        </m:oMath>
      </m:oMathPara>
    </w:p>
    <w:p w14:paraId="12BEBDDE" w14:textId="77777777" w:rsidR="00A5229D" w:rsidRPr="0018346E" w:rsidRDefault="00A5229D" w:rsidP="00A5229D">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o Plano Gratuito escalado numa única região: </w:t>
      </w:r>
    </w:p>
    <w:p w14:paraId="3A86B98D" w14:textId="77777777" w:rsidR="00A5229D" w:rsidRPr="0018346E" w:rsidRDefault="00A5229D" w:rsidP="00A5229D">
      <w:pPr>
        <w:spacing w:after="0" w:line="240" w:lineRule="auto"/>
        <w:textAlignment w:val="baseline"/>
        <w:rPr>
          <w:rFonts w:ascii="Calibri" w:eastAsia="Calibri" w:hAnsi="Calibri" w:cs="Arial"/>
          <w:sz w:val="18"/>
        </w:rPr>
      </w:pPr>
      <w:r>
        <w:rPr>
          <w:rFonts w:ascii="Calibri" w:eastAsia="Calibri" w:hAnsi="Calibri" w:cs="Arial"/>
          <w:sz w:val="18"/>
        </w:rPr>
        <w:t>Sem SLA</w:t>
      </w:r>
    </w:p>
    <w:p w14:paraId="7308875A" w14:textId="77777777" w:rsidR="00A5229D" w:rsidRPr="0018346E" w:rsidRDefault="00A5229D" w:rsidP="00A5229D">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o Plano Padrão escalado numa única região: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5229D" w:rsidRPr="00E075C6" w14:paraId="405192DF"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93D8354" w14:textId="77777777" w:rsidR="00A5229D" w:rsidRPr="00E075C6" w:rsidRDefault="00A5229D"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7E3FC44" w14:textId="77777777" w:rsidR="00A5229D" w:rsidRPr="00E075C6" w:rsidRDefault="00A5229D"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 </w:t>
            </w:r>
          </w:p>
        </w:tc>
      </w:tr>
      <w:tr w:rsidR="00A5229D" w:rsidRPr="00E075C6" w14:paraId="4C576A61"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hideMark/>
          </w:tcPr>
          <w:p w14:paraId="147C4A82"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7F431A5D"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229D" w:rsidRPr="00E075C6" w14:paraId="17A04E25"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hideMark/>
          </w:tcPr>
          <w:p w14:paraId="5098EA2C"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155C7925"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91C8039" w14:textId="77777777" w:rsidR="00A5229D" w:rsidRPr="00EF7CF9" w:rsidRDefault="00A5229D" w:rsidP="00A5229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3B44625" w14:textId="385BD260" w:rsidR="004005AF" w:rsidRPr="00EF7CF9" w:rsidRDefault="004005AF" w:rsidP="00173870">
      <w:pPr>
        <w:pStyle w:val="ProductList-Offering2Heading"/>
        <w:keepNext/>
        <w:keepLines/>
        <w:tabs>
          <w:tab w:val="clear" w:pos="360"/>
          <w:tab w:val="clear" w:pos="720"/>
          <w:tab w:val="clear" w:pos="1080"/>
        </w:tabs>
        <w:outlineLvl w:val="2"/>
      </w:pPr>
      <w:bookmarkStart w:id="122" w:name="_Toc214456763"/>
      <w:r>
        <w:lastRenderedPageBreak/>
        <w:t>API Management Services</w:t>
      </w:r>
      <w:bookmarkEnd w:id="111"/>
      <w:bookmarkEnd w:id="119"/>
      <w:bookmarkEnd w:id="122"/>
    </w:p>
    <w:p w14:paraId="55F3B515" w14:textId="77777777" w:rsidR="004005AF" w:rsidRPr="00EF7CF9" w:rsidRDefault="004005AF" w:rsidP="00173870">
      <w:pPr>
        <w:pStyle w:val="ProductList-Body"/>
        <w:keepNext/>
        <w:keepLines/>
      </w:pPr>
      <w:r>
        <w:rPr>
          <w:b/>
          <w:color w:val="00188F"/>
        </w:rPr>
        <w:t>Definições Adicionais</w:t>
      </w:r>
      <w:r w:rsidRPr="00473DD3">
        <w:rPr>
          <w:b/>
          <w:color w:val="00188F"/>
        </w:rPr>
        <w:t>:</w:t>
      </w:r>
    </w:p>
    <w:p w14:paraId="0176D6F3" w14:textId="56E060D1" w:rsidR="004005AF" w:rsidRPr="00EF7CF9" w:rsidRDefault="00380305" w:rsidP="00F01ED6">
      <w:pPr>
        <w:pStyle w:val="ProductList-Body"/>
        <w:spacing w:after="40"/>
      </w:pPr>
      <w:r>
        <w:t>“</w:t>
      </w:r>
      <w:r w:rsidR="004005AF">
        <w:rPr>
          <w:b/>
          <w:color w:val="00188F"/>
        </w:rPr>
        <w:t>Minutos de Implementação</w:t>
      </w:r>
      <w:r>
        <w:t>”</w:t>
      </w:r>
      <w:r w:rsidR="004005AF">
        <w:t xml:space="preserve"> designa o número total de minutos durante os quais uma determinada instância da Gestão de API foi implementada no Microsoft Azure durante um Período Aplicável.</w:t>
      </w:r>
    </w:p>
    <w:p w14:paraId="4720E678" w14:textId="40255CA9"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instâncias de Gestão de API implementadas pelo Cliente numa determinada subscrição do Microsoft Azure durante um Período Aplicável.</w:t>
      </w:r>
    </w:p>
    <w:p w14:paraId="54365A4B" w14:textId="42EFC3D6" w:rsidR="004005AF" w:rsidRPr="00EF7CF9" w:rsidRDefault="00380305" w:rsidP="00F01ED6">
      <w:pPr>
        <w:pStyle w:val="ProductList-Body"/>
      </w:pPr>
      <w:r>
        <w:t>“</w:t>
      </w:r>
      <w:r w:rsidR="004005AF">
        <w:rPr>
          <w:b/>
          <w:color w:val="00188F"/>
        </w:rPr>
        <w:t>Proxy</w:t>
      </w:r>
      <w:r>
        <w:t>”</w:t>
      </w:r>
      <w:r w:rsidR="004005AF">
        <w:t xml:space="preserve"> é o componente do Serviço de Gestão de API responsável pela receção dos pedidos de API e pelo respetivo reencaminhamento para a API dependente configurada.</w:t>
      </w:r>
    </w:p>
    <w:p w14:paraId="6AEBE793" w14:textId="77777777" w:rsidR="004005AF" w:rsidRPr="00EF7CF9" w:rsidRDefault="004005AF" w:rsidP="00F01ED6">
      <w:pPr>
        <w:pStyle w:val="ProductList-Body"/>
      </w:pPr>
      <w:r>
        <w:rPr>
          <w:b/>
          <w:color w:val="00188F"/>
        </w:rPr>
        <w:t>Período de Indisponibilidade</w:t>
      </w:r>
      <w:r w:rsidRPr="00473DD3">
        <w:rPr>
          <w:b/>
          <w:color w:val="00188F"/>
        </w:rPr>
        <w:t>:</w:t>
      </w:r>
      <w:r>
        <w:t xml:space="preserve"> O total de Minutos de Implementação acumulados, em todas as instâncias de Gestão de API implementadas pelo Cliente numa determinada subscrição do Microsoft Azure, no qual o Serviço de Gestão de API está indisponível. 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0127167" w14:textId="15FEB2D6"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7E953B94" w14:textId="77777777" w:rsidR="004005AF" w:rsidRPr="00EF7CF9" w:rsidRDefault="004005AF" w:rsidP="00F01ED6">
      <w:pPr>
        <w:pStyle w:val="ProductList-Body"/>
      </w:pPr>
    </w:p>
    <w:p w14:paraId="3E1BA1B0" w14:textId="09BAC6B5"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516BFC5" w14:textId="77777777" w:rsidR="004005AF" w:rsidRPr="00EF7CF9" w:rsidRDefault="004005AF" w:rsidP="00F01ED6">
      <w:pPr>
        <w:pStyle w:val="ProductList-Body"/>
      </w:pPr>
      <w:r>
        <w:rPr>
          <w:b/>
          <w:color w:val="00188F"/>
        </w:rPr>
        <w:t>Crédito de Serviço para as implementações da Camada Consumption, Camada Basic, Standard e Premium escaladas numa única região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159D0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277097">
        <w:tc>
          <w:tcPr>
            <w:tcW w:w="5400" w:type="dxa"/>
          </w:tcPr>
          <w:p w14:paraId="2B2E8C72" w14:textId="77777777" w:rsidR="004005AF" w:rsidRPr="00EF7CF9" w:rsidRDefault="004005AF" w:rsidP="00F01ED6">
            <w:pPr>
              <w:pStyle w:val="ProductList-OfferingBody"/>
              <w:jc w:val="center"/>
            </w:pPr>
            <w:r>
              <w:t>&lt; 99,95%</w:t>
            </w:r>
          </w:p>
        </w:tc>
        <w:tc>
          <w:tcPr>
            <w:tcW w:w="5400" w:type="dxa"/>
          </w:tcPr>
          <w:p w14:paraId="33CEAC16" w14:textId="77777777" w:rsidR="004005AF" w:rsidRPr="00EF7CF9" w:rsidRDefault="004005AF" w:rsidP="00F01ED6">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F01ED6">
            <w:pPr>
              <w:pStyle w:val="ProductList-OfferingBody"/>
              <w:jc w:val="center"/>
            </w:pPr>
            <w:r>
              <w:t>&lt; 99%</w:t>
            </w:r>
          </w:p>
        </w:tc>
        <w:tc>
          <w:tcPr>
            <w:tcW w:w="5400" w:type="dxa"/>
          </w:tcPr>
          <w:p w14:paraId="1E92A785" w14:textId="77777777" w:rsidR="004005AF" w:rsidRPr="00EF7CF9" w:rsidRDefault="004005AF" w:rsidP="00F01ED6">
            <w:pPr>
              <w:pStyle w:val="ProductList-OfferingBody"/>
              <w:jc w:val="center"/>
            </w:pPr>
            <w:r>
              <w:t>25%</w:t>
            </w:r>
          </w:p>
        </w:tc>
      </w:tr>
    </w:tbl>
    <w:p w14:paraId="3213231A" w14:textId="77777777" w:rsidR="004005AF" w:rsidRPr="00044317" w:rsidRDefault="004005AF" w:rsidP="00F01ED6">
      <w:pPr>
        <w:pStyle w:val="ProductList-Body"/>
        <w:rPr>
          <w:sz w:val="12"/>
          <w:szCs w:val="12"/>
        </w:rPr>
      </w:pPr>
    </w:p>
    <w:p w14:paraId="2336717E" w14:textId="77777777" w:rsidR="004005AF" w:rsidRPr="00EF7CF9" w:rsidRDefault="004005AF" w:rsidP="00F01ED6">
      <w:pPr>
        <w:pStyle w:val="ProductList-Body"/>
        <w:rPr>
          <w:b/>
          <w:color w:val="00188F"/>
        </w:rPr>
      </w:pPr>
      <w:r>
        <w:rPr>
          <w:b/>
          <w:color w:val="00188F"/>
        </w:rPr>
        <w:t>Implementações do Crédito de Serviço para a Camada Premium escaladas em duas ou mais regiões</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C7D83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F01ED6">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F01ED6">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F01ED6">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F01ED6">
            <w:pPr>
              <w:pStyle w:val="ProductList-OfferingBody"/>
              <w:jc w:val="center"/>
            </w:pPr>
            <w:r>
              <w:t>25%</w:t>
            </w:r>
          </w:p>
        </w:tc>
      </w:tr>
    </w:tbl>
    <w:bookmarkStart w:id="123" w:name="AppService"/>
    <w:bookmarkStart w:id="124" w:name="_Toc52348996"/>
    <w:bookmarkStart w:id="125" w:name="_Toc457821536"/>
    <w:bookmarkStart w:id="126" w:name="_Toc52348919"/>
    <w:bookmarkEnd w:id="123"/>
    <w:p w14:paraId="13047D6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6F39B64" w14:textId="06922C84" w:rsidR="004F4126" w:rsidRPr="00EF7CF9" w:rsidRDefault="004F4126" w:rsidP="00F01ED6">
      <w:pPr>
        <w:pStyle w:val="ProductList-Offering2Heading"/>
        <w:keepNext/>
        <w:tabs>
          <w:tab w:val="clear" w:pos="360"/>
          <w:tab w:val="clear" w:pos="720"/>
          <w:tab w:val="clear" w:pos="1080"/>
        </w:tabs>
        <w:outlineLvl w:val="2"/>
      </w:pPr>
      <w:bookmarkStart w:id="127" w:name="_Toc214456764"/>
      <w:r>
        <w:t>App Center</w:t>
      </w:r>
      <w:bookmarkEnd w:id="124"/>
      <w:bookmarkEnd w:id="127"/>
    </w:p>
    <w:p w14:paraId="3A9D0D7E" w14:textId="77777777" w:rsidR="004F4126" w:rsidRPr="00EF7CF9" w:rsidRDefault="004F4126" w:rsidP="00F01ED6">
      <w:pPr>
        <w:pStyle w:val="ProductList-Body"/>
        <w:keepNext/>
        <w:rPr>
          <w:b/>
          <w:color w:val="00188F"/>
        </w:rPr>
      </w:pPr>
      <w:r>
        <w:rPr>
          <w:b/>
          <w:color w:val="00188F"/>
        </w:rPr>
        <w:t>Definições Adicionais</w:t>
      </w:r>
      <w:r w:rsidRPr="00473DD3">
        <w:rPr>
          <w:b/>
          <w:color w:val="00188F"/>
        </w:rPr>
        <w:t>:</w:t>
      </w:r>
    </w:p>
    <w:p w14:paraId="361B5D29" w14:textId="77754D30" w:rsidR="004F4126" w:rsidRPr="00EF7CF9" w:rsidRDefault="00380305" w:rsidP="00F01ED6">
      <w:pPr>
        <w:pStyle w:val="ProductList-Body"/>
      </w:pPr>
      <w:r>
        <w:t>“</w:t>
      </w:r>
      <w:r w:rsidR="004F4126">
        <w:rPr>
          <w:b/>
          <w:color w:val="00188F"/>
        </w:rPr>
        <w:t>Serviço de Compilação</w:t>
      </w:r>
      <w:r>
        <w:t>”</w:t>
      </w:r>
      <w:r w:rsidR="004F4126">
        <w:t xml:space="preserve"> é uma funcionalidade que permite aos clientes compilarem as respetivas aplicações móveis no Visual Studio App Center.</w:t>
      </w:r>
    </w:p>
    <w:p w14:paraId="52D1C52F" w14:textId="635008D9" w:rsidR="004F4126" w:rsidRPr="009E2B16" w:rsidRDefault="00380305" w:rsidP="00F01ED6">
      <w:pPr>
        <w:spacing w:after="0" w:line="240" w:lineRule="auto"/>
        <w:rPr>
          <w:sz w:val="18"/>
          <w:szCs w:val="18"/>
        </w:rPr>
      </w:pPr>
      <w:r>
        <w:rPr>
          <w:sz w:val="18"/>
          <w:szCs w:val="18"/>
        </w:rPr>
        <w:t>“</w:t>
      </w:r>
      <w:r w:rsidR="004F4126">
        <w:rPr>
          <w:b/>
          <w:color w:val="00188F"/>
          <w:sz w:val="18"/>
        </w:rPr>
        <w:t>Serviço de Testes</w:t>
      </w:r>
      <w:r>
        <w:rPr>
          <w:sz w:val="18"/>
          <w:szCs w:val="18"/>
        </w:rPr>
        <w:t>”</w:t>
      </w:r>
      <w:r w:rsidR="004F4126">
        <w:rPr>
          <w:sz w:val="18"/>
          <w:szCs w:val="18"/>
        </w:rPr>
        <w:t xml:space="preserve"> é uma funcionalidade que permite aos clientes carregar e executar testes para as respetivas aplicações móveis em dispositivos físicos em execução no Visual Studio App Center. </w:t>
      </w:r>
    </w:p>
    <w:p w14:paraId="54868D5D" w14:textId="705897C7" w:rsidR="004F4126" w:rsidRPr="00EF7CF9" w:rsidRDefault="00380305" w:rsidP="00F01ED6">
      <w:pPr>
        <w:pStyle w:val="ProductList-Body"/>
      </w:pPr>
      <w:r>
        <w:rPr>
          <w:szCs w:val="18"/>
        </w:rPr>
        <w:t>“</w:t>
      </w:r>
      <w:r w:rsidR="004F4126">
        <w:rPr>
          <w:b/>
          <w:color w:val="00188F"/>
          <w:szCs w:val="18"/>
        </w:rPr>
        <w:t>Serviço de Notificações Push</w:t>
      </w:r>
      <w:r>
        <w:rPr>
          <w:szCs w:val="18"/>
        </w:rPr>
        <w:t>”</w:t>
      </w:r>
      <w:r w:rsidR="004F4126">
        <w:rPr>
          <w:szCs w:val="18"/>
        </w:rPr>
        <w:t xml:space="preserve"> é uma funcionalidade que permite aos clientes emitir mensagens via push para dispositivos específicos configurados para receberem estas mensagens através do Visual Studio App Center.</w:t>
      </w:r>
      <w:r w:rsidR="004F4126">
        <w:t xml:space="preserve"> </w:t>
      </w:r>
    </w:p>
    <w:p w14:paraId="48EA1B33" w14:textId="4A20E88B" w:rsidR="004F4126" w:rsidRPr="00ED4527" w:rsidRDefault="00EE6E3C" w:rsidP="00F01ED6">
      <w:pPr>
        <w:pStyle w:val="ProductList-Body"/>
        <w:spacing w:before="120"/>
        <w:rPr>
          <w:b/>
          <w:bCs/>
          <w:color w:val="00188F"/>
        </w:rPr>
      </w:pPr>
      <w:r>
        <w:rPr>
          <w:b/>
          <w:bCs/>
          <w:color w:val="00188F"/>
        </w:rPr>
        <w:t>Cálculo do Período de Disponibilidade e Níveis de Serviço para o Serviço de Compilação do Visual Studio App Center</w:t>
      </w:r>
    </w:p>
    <w:p w14:paraId="58225B60" w14:textId="6C8D4E23"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Compilação esteve implementado pelo Cliente para uma determinada subscrição do Microsoft Azure durante um Período Aplicável.</w:t>
      </w:r>
    </w:p>
    <w:p w14:paraId="391868A3" w14:textId="377F8448" w:rsidR="004F4126" w:rsidRPr="00EF7CF9" w:rsidRDefault="00380305" w:rsidP="00F01ED6">
      <w:pPr>
        <w:pStyle w:val="ProductList-Body"/>
      </w:pPr>
      <w:r>
        <w:t>“</w:t>
      </w:r>
      <w:r w:rsidR="004F4126">
        <w:rPr>
          <w:b/>
          <w:color w:val="00188F"/>
        </w:rPr>
        <w:t>Período de Indisponibilidade</w:t>
      </w:r>
      <w:r>
        <w:t>”</w:t>
      </w:r>
      <w:r w:rsidR="004F4126">
        <w:t xml:space="preserve"> designa o número total de minutos no Máximo de Minutos Disponíveis durante o qual o Serviço de Compilação está indisponível. Um minuto é considerado indisponível se todos os pedidos de HTTP contínuos para o Serviço de Compilação para executar operações iniciadas pelo Cliente nesse minuto resultarem num Código de Erro ou se não devolverem uma resposta ao fim de um minuto.</w:t>
      </w:r>
    </w:p>
    <w:p w14:paraId="78730B3B" w14:textId="408D97C7"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Compilação do Visual Studio App Center é calculada como o Máximo de Minutos Disponíveis menos o Período de Indisponibilidade, dividido pelo Máximo de Minutos Disponíveis e</w:t>
      </w:r>
      <w:r w:rsidR="00173870">
        <w:t> </w:t>
      </w:r>
      <w:r>
        <w:t>multiplicado por 100. A Percentagem de Período de Disponibilidade é representada pela seguinte fórmula:</w:t>
      </w:r>
    </w:p>
    <w:p w14:paraId="7082C45A" w14:textId="77777777" w:rsidR="004F4126" w:rsidRPr="00EF7CF9" w:rsidRDefault="004F4126" w:rsidP="00F01ED6">
      <w:pPr>
        <w:pStyle w:val="ProductList-Body"/>
      </w:pPr>
    </w:p>
    <w:p w14:paraId="63B39C84" w14:textId="34091B74" w:rsidR="004F412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A8F96D0" w14:textId="3AE0CA7D" w:rsidR="00881D39" w:rsidRPr="000C03EC" w:rsidRDefault="004F4126" w:rsidP="00173870">
      <w:pPr>
        <w:spacing w:line="240" w:lineRule="auto"/>
        <w:rPr>
          <w:rFonts w:eastAsiaTheme="minorEastAsia"/>
          <w:spacing w:val="-3"/>
          <w:sz w:val="18"/>
          <w:szCs w:val="18"/>
          <w:lang w:eastAsia="zh-TW"/>
        </w:rPr>
      </w:pPr>
      <w:r w:rsidRPr="000C03EC">
        <w:rPr>
          <w:rFonts w:eastAsiaTheme="minorEastAsia"/>
          <w:spacing w:val="-3"/>
          <w:sz w:val="18"/>
          <w:szCs w:val="18"/>
        </w:rPr>
        <w:t xml:space="preserve">Os seguintes Níveis de Serviço e Créditos de Serviço são aplicáveis à utilização que o Cliente faz do Serviço de Compilação do Visual Studio App Center. </w:t>
      </w:r>
    </w:p>
    <w:p w14:paraId="16509D13" w14:textId="3CE4A4B5"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A61800C"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F01ED6">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F01ED6">
            <w:pPr>
              <w:pStyle w:val="ProductList-OfferingBody"/>
              <w:jc w:val="center"/>
            </w:pPr>
            <w:r>
              <w:t>25%</w:t>
            </w:r>
          </w:p>
        </w:tc>
      </w:tr>
    </w:tbl>
    <w:p w14:paraId="72984DD3" w14:textId="5ED863CC" w:rsidR="004F4126" w:rsidRPr="00ED4527" w:rsidRDefault="00EE6E3C" w:rsidP="00F01ED6">
      <w:pPr>
        <w:pStyle w:val="ProductList-Body"/>
        <w:spacing w:before="240"/>
        <w:rPr>
          <w:b/>
          <w:bCs/>
          <w:color w:val="00188F"/>
        </w:rPr>
      </w:pPr>
      <w:r>
        <w:rPr>
          <w:b/>
          <w:bCs/>
          <w:color w:val="00188F"/>
        </w:rPr>
        <w:lastRenderedPageBreak/>
        <w:t>Cálculo do Período de Disponibilidade e Níveis de Serviço para o Serviço de Testes do Visual Studio App Center</w:t>
      </w:r>
    </w:p>
    <w:p w14:paraId="57EE826D" w14:textId="79A491AE"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Teste esteve implementado pelo Cliente para uma determinada subscrição do Microsoft Azure durante um Período Aplicável.</w:t>
      </w:r>
    </w:p>
    <w:p w14:paraId="740E634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no Máximo de Minutos Disponíveis durante o qual o Serviço de Testes está indisponível. Um minuto é considerado indisponível se todos os pedidos de HTTP contínuos para o Serviço de Testes para executar operações iniciadas pelo Cliente nesse minuto resultarem num Código de Erro ou se não devolverem uma resposta ao fim de um minuto.</w:t>
      </w:r>
    </w:p>
    <w:p w14:paraId="670409F6" w14:textId="2382433F"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Teste do Visual Studio App Center é</w:t>
      </w:r>
      <w:r w:rsidR="00903C90">
        <w:t> </w:t>
      </w:r>
      <w:r>
        <w:t>calculada como o Máximo de Minutos Disponíveis menos o Período de Indisponibilidade, dividido pelo Máximo de Minutos Disponíveis e</w:t>
      </w:r>
      <w:r w:rsidR="00903C90">
        <w:t> </w:t>
      </w:r>
      <w:r>
        <w:t>multiplicado por 100. A Percentagem de Período de Disponibilidade é representada pela seguinte fórmula:</w:t>
      </w:r>
    </w:p>
    <w:p w14:paraId="20FF1AC7" w14:textId="77777777" w:rsidR="004F4126" w:rsidRPr="000C03EC" w:rsidRDefault="004F4126" w:rsidP="00F01ED6">
      <w:pPr>
        <w:pStyle w:val="ProductList-Body"/>
        <w:rPr>
          <w:sz w:val="16"/>
        </w:rPr>
      </w:pPr>
    </w:p>
    <w:p w14:paraId="75B31A28" w14:textId="09498C44" w:rsidR="004F412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2FF76E0" w14:textId="5CC4F79F" w:rsidR="004F4126" w:rsidRPr="00EF7CF9"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Testes do Visual Studio App Center. </w:t>
      </w:r>
    </w:p>
    <w:p w14:paraId="4D806370" w14:textId="77777777" w:rsidR="004F4126" w:rsidRPr="00173870" w:rsidRDefault="004F4126" w:rsidP="00F01ED6">
      <w:pPr>
        <w:pStyle w:val="ProductList-Body"/>
        <w:rPr>
          <w:szCs w:val="18"/>
        </w:rPr>
      </w:pPr>
    </w:p>
    <w:p w14:paraId="5173A776" w14:textId="77777777" w:rsidR="004F4126" w:rsidRPr="00EF7CF9" w:rsidRDefault="004F41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FD2B288"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F01ED6">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F01ED6">
            <w:pPr>
              <w:pStyle w:val="ProductList-OfferingBody"/>
              <w:keepNext/>
              <w:jc w:val="center"/>
            </w:pPr>
            <w:r>
              <w:t>25%</w:t>
            </w:r>
          </w:p>
        </w:tc>
      </w:tr>
    </w:tbl>
    <w:p w14:paraId="557FDEE6" w14:textId="72E7A5C8" w:rsidR="004F4126" w:rsidRPr="00ED4527" w:rsidRDefault="00EE6E3C" w:rsidP="00F01ED6">
      <w:pPr>
        <w:pStyle w:val="ProductList-Body"/>
        <w:rPr>
          <w:b/>
          <w:bCs/>
          <w:color w:val="00188F"/>
        </w:rPr>
      </w:pPr>
      <w:r>
        <w:rPr>
          <w:b/>
          <w:bCs/>
          <w:color w:val="00188F"/>
        </w:rPr>
        <w:t>Cálculo do Período de Disponibilidade e Níveis de Serviço para o Serviço de Notificações Push do Visual Studio App Center</w:t>
      </w:r>
    </w:p>
    <w:p w14:paraId="2597119F" w14:textId="0D3AF718"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Notificações Push esteve implementado pelo Cliente para uma determinada subscrição do Microsoft Azure durante um Período Aplicável.</w:t>
      </w:r>
    </w:p>
    <w:p w14:paraId="2F8BC21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de Notificações Push está indisponível. Um minuto é considerado indisponível se todos os pedidos de HTTP contínuos para o Serviço de Notificações Push para executar operações iniciadas pelo Cliente nesse minuto resultarem num Código de Erro ou se não devolverem uma resposta ao fim de um minuto.</w:t>
      </w:r>
    </w:p>
    <w:p w14:paraId="1FA221E9" w14:textId="05657BF6"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Notificações Push do Visual Studio App Center é calculada como o Máximo de Minutos Disponíveis menos o Período de Indisponibilidade, dividido pelo Máximo de Minutos Disponíveis e multiplicado por 100. A Percentagem de Período de Disponibilidade é representada pela seguinte fórmula:</w:t>
      </w:r>
    </w:p>
    <w:p w14:paraId="29FB9F8B" w14:textId="77777777" w:rsidR="004F4126" w:rsidRPr="000C03EC" w:rsidRDefault="004F4126" w:rsidP="00F01ED6">
      <w:pPr>
        <w:pStyle w:val="ProductList-Body"/>
        <w:rPr>
          <w:sz w:val="16"/>
        </w:rPr>
      </w:pPr>
    </w:p>
    <w:p w14:paraId="35245E4E" w14:textId="7FE17FA0" w:rsidR="004F4126" w:rsidRPr="00EF7CF9" w:rsidRDefault="00000000" w:rsidP="00E563F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F42A2C3" w14:textId="0B5C8347" w:rsidR="004F4126" w:rsidRPr="00D9543D"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Notificações Push do Visual Studio App Center. </w:t>
      </w:r>
    </w:p>
    <w:p w14:paraId="4A6AF72B" w14:textId="77777777" w:rsidR="004F4126" w:rsidRPr="000C03EC" w:rsidRDefault="004F4126" w:rsidP="00F01ED6">
      <w:pPr>
        <w:pStyle w:val="ProductList-Body"/>
        <w:rPr>
          <w:sz w:val="16"/>
        </w:rPr>
      </w:pPr>
    </w:p>
    <w:p w14:paraId="04990EC8" w14:textId="77777777"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5C51A762" w14:textId="77777777" w:rsidR="004F4126" w:rsidRPr="00EF7CF9" w:rsidRDefault="004F4126" w:rsidP="00F01ED6">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F01ED6">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F01ED6">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F01ED6">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F01ED6">
            <w:pPr>
              <w:pStyle w:val="ProductList-OfferingBody"/>
              <w:keepNext/>
              <w:jc w:val="center"/>
            </w:pPr>
            <w:r>
              <w:t>25%</w:t>
            </w:r>
          </w:p>
        </w:tc>
      </w:tr>
    </w:tbl>
    <w:p w14:paraId="5B9BC00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6D1359D" w14:textId="77777777" w:rsidR="00012F9F" w:rsidRPr="00012F9F" w:rsidRDefault="00012F9F" w:rsidP="00F01ED6">
      <w:pPr>
        <w:pStyle w:val="ProductList-Offering2Heading"/>
        <w:keepNext/>
        <w:tabs>
          <w:tab w:val="clear" w:pos="360"/>
          <w:tab w:val="clear" w:pos="720"/>
          <w:tab w:val="clear" w:pos="1080"/>
        </w:tabs>
        <w:outlineLvl w:val="2"/>
      </w:pPr>
      <w:bookmarkStart w:id="128" w:name="_Toc214456765"/>
      <w:r>
        <w:t>App Configuration</w:t>
      </w:r>
      <w:bookmarkEnd w:id="128"/>
    </w:p>
    <w:p w14:paraId="4302A28C" w14:textId="77777777" w:rsidR="00012F9F" w:rsidRPr="00852CBF" w:rsidRDefault="00012F9F" w:rsidP="00F01ED6">
      <w:pPr>
        <w:pStyle w:val="ProductList-Body"/>
        <w:rPr>
          <w:b/>
          <w:color w:val="00188F"/>
        </w:rPr>
      </w:pPr>
      <w:r>
        <w:rPr>
          <w:b/>
          <w:color w:val="00188F"/>
        </w:rPr>
        <w:t>Definições Adicionais</w:t>
      </w:r>
    </w:p>
    <w:p w14:paraId="5722BEE2" w14:textId="22895687" w:rsidR="00012F9F" w:rsidRDefault="00380305" w:rsidP="00F01ED6">
      <w:pPr>
        <w:pStyle w:val="ProductList-Body"/>
      </w:pPr>
      <w:r>
        <w:t>“</w:t>
      </w:r>
      <w:r w:rsidR="00012F9F">
        <w:rPr>
          <w:b/>
          <w:bCs/>
          <w:color w:val="00188F"/>
        </w:rPr>
        <w:t>Arquivo de Configuração</w:t>
      </w:r>
      <w:r>
        <w:t>”</w:t>
      </w:r>
      <w:r w:rsidR="00012F9F">
        <w:t xml:space="preserve"> designa uma implementação individual do Azure App Configuration criada pelo Cliente para que seja enumerada no separador App Configuration no Portal de Gestão.</w:t>
      </w:r>
    </w:p>
    <w:p w14:paraId="3D0036CD" w14:textId="460527E4" w:rsidR="00012F9F" w:rsidRPr="00852CBF" w:rsidRDefault="00EE6E3C" w:rsidP="00F01ED6">
      <w:pPr>
        <w:pStyle w:val="ProductList-Body"/>
        <w:spacing w:before="120"/>
        <w:rPr>
          <w:b/>
          <w:bCs/>
          <w:color w:val="00188F"/>
        </w:rPr>
      </w:pPr>
      <w:r>
        <w:rPr>
          <w:b/>
          <w:bCs/>
          <w:color w:val="00188F"/>
        </w:rPr>
        <w:t>Cálculo do Período de Disponibilidade e Níveis de Serviço para o Azure App Configuration</w:t>
      </w:r>
    </w:p>
    <w:p w14:paraId="4C4328F8" w14:textId="737172B5" w:rsidR="00012F9F" w:rsidRDefault="00380305" w:rsidP="00F01ED6">
      <w:pPr>
        <w:pStyle w:val="ProductList-Body"/>
      </w:pPr>
      <w:r>
        <w:t>“</w:t>
      </w:r>
      <w:r w:rsidR="00012F9F">
        <w:rPr>
          <w:b/>
          <w:bCs/>
          <w:color w:val="00188F"/>
        </w:rPr>
        <w:t>Minutos de Implementação</w:t>
      </w:r>
      <w:r>
        <w:t>”</w:t>
      </w:r>
      <w:r w:rsidR="00012F9F">
        <w:t xml:space="preserve"> designa o número total de minutos durante os quais um determinado Arquivo de Configuração foi implementado no</w:t>
      </w:r>
      <w:r w:rsidR="00024FE1">
        <w:t> </w:t>
      </w:r>
      <w:r w:rsidR="00012F9F">
        <w:t>Microsoft Azure durante um Período Aplicável.</w:t>
      </w:r>
    </w:p>
    <w:p w14:paraId="35FC0267" w14:textId="4460488F" w:rsidR="00012F9F" w:rsidRDefault="00380305" w:rsidP="00F01ED6">
      <w:pPr>
        <w:pStyle w:val="ProductList-Body"/>
      </w:pPr>
      <w:r>
        <w:t>“</w:t>
      </w:r>
      <w:r w:rsidR="00012F9F">
        <w:rPr>
          <w:b/>
          <w:bCs/>
          <w:color w:val="00188F"/>
        </w:rPr>
        <w:t>Máximo de Minutos Disponíveis</w:t>
      </w:r>
      <w:r>
        <w:t>”</w:t>
      </w:r>
      <w:r w:rsidR="00012F9F">
        <w:t xml:space="preserve"> designa a soma de todos os Minutos de Implementação em todos os Arquivos de Configuração implementados pelo Cliente numa determinada subscrição do Microsoft Azure durante um Período Aplicável.</w:t>
      </w:r>
    </w:p>
    <w:p w14:paraId="140C7DDA" w14:textId="1A807F5C" w:rsidR="00012F9F" w:rsidRDefault="00380305" w:rsidP="00F01ED6">
      <w:pPr>
        <w:pStyle w:val="ProductList-Body"/>
      </w:pPr>
      <w:r>
        <w:t>“</w:t>
      </w:r>
      <w:r w:rsidR="00012F9F">
        <w:rPr>
          <w:b/>
          <w:bCs/>
          <w:color w:val="00188F"/>
        </w:rPr>
        <w:t>Período de Indisponibilidade</w:t>
      </w:r>
      <w:r>
        <w:t>”</w:t>
      </w:r>
      <w:r w:rsidR="00012F9F">
        <w:t xml:space="preserve"> é o total de minutos acumulado durante o Máximo de Minutos Disponíveis durante os quais o Arquivo de Configuração está indisponível. Um minuto é considerado indisponível para um determinado Arquivo de Configuração quando não existe qualquer conectividade ao longo desse minuto entre o Arquivo de Configuração e o gateway de Internet da Microsoft.</w:t>
      </w:r>
    </w:p>
    <w:p w14:paraId="714230EB" w14:textId="57ACB66D" w:rsidR="00012F9F" w:rsidRDefault="00012F9F" w:rsidP="00044317">
      <w:pPr>
        <w:pStyle w:val="ProductList-Body"/>
        <w:keepNext/>
      </w:pPr>
      <w:r>
        <w:lastRenderedPageBreak/>
        <w:t xml:space="preserve">A </w:t>
      </w:r>
      <w:r w:rsidR="00380305">
        <w:t>“</w:t>
      </w:r>
      <w:r>
        <w:rPr>
          <w:b/>
          <w:bCs/>
          <w:color w:val="00188F"/>
        </w:rPr>
        <w:t>Percentagem de Período de Disponibilidade</w:t>
      </w:r>
      <w:r w:rsidR="00380305">
        <w:t>”</w:t>
      </w:r>
      <w:r>
        <w:t xml:space="preserve"> para o Azure App Configuration é calculada como o Máximo de Minutos Disponíveis menos o</w:t>
      </w:r>
      <w:r w:rsidR="00173870">
        <w:t> </w:t>
      </w:r>
      <w:r>
        <w:t>Período de Indisponibilidade a dividir pelo Máximo de Minutos Disponíveis num Período Aplicável para uma determinada subscrição do Microsoft Azure. A Percentagem de Período de Disponibilidade é representada pela seguinte fórmula:</w:t>
      </w:r>
    </w:p>
    <w:p w14:paraId="24B481D5" w14:textId="77777777" w:rsidR="003940E8" w:rsidRPr="000C03EC" w:rsidRDefault="003940E8" w:rsidP="00F01ED6">
      <w:pPr>
        <w:pStyle w:val="ProductList-Body"/>
        <w:rPr>
          <w:sz w:val="16"/>
        </w:rPr>
      </w:pPr>
    </w:p>
    <w:p w14:paraId="3BE596FB" w14:textId="40777DE2" w:rsidR="003940E8"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572CCD5" w14:textId="45C11EDE" w:rsidR="00012F9F" w:rsidRPr="003940E8" w:rsidRDefault="00012F9F" w:rsidP="00F01ED6">
      <w:pPr>
        <w:pStyle w:val="ProductList-Body"/>
        <w:keepNext/>
        <w:rPr>
          <w:b/>
          <w:bCs/>
          <w:color w:val="00188F"/>
        </w:rPr>
      </w:pPr>
      <w:r>
        <w:rPr>
          <w:b/>
          <w:bCs/>
          <w:color w:val="00188F"/>
        </w:rPr>
        <w:t>Os seguintes Níveis de Serviço e Créditos de Serviço são aplicáveis à utilização que o Cliente faz do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220BADA7" w14:textId="77777777" w:rsidR="003940E8" w:rsidRPr="00EF7CF9" w:rsidRDefault="003940E8" w:rsidP="00F01ED6">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F01ED6">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F01ED6">
            <w:pPr>
              <w:pStyle w:val="ProductList-OfferingBody"/>
              <w:jc w:val="center"/>
            </w:pPr>
            <w:r>
              <w:t>25%</w:t>
            </w:r>
          </w:p>
        </w:tc>
      </w:tr>
    </w:tbl>
    <w:p w14:paraId="41EBC5BC"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F775864" w14:textId="25BBD322" w:rsidR="004005AF" w:rsidRPr="00EF7CF9" w:rsidRDefault="004005AF" w:rsidP="00F01ED6">
      <w:pPr>
        <w:pStyle w:val="ProductList-Offering2Heading"/>
        <w:tabs>
          <w:tab w:val="clear" w:pos="360"/>
          <w:tab w:val="clear" w:pos="720"/>
          <w:tab w:val="clear" w:pos="1080"/>
        </w:tabs>
        <w:outlineLvl w:val="2"/>
      </w:pPr>
      <w:bookmarkStart w:id="129" w:name="_Toc214456766"/>
      <w:r>
        <w:t>App Service</w:t>
      </w:r>
      <w:bookmarkEnd w:id="125"/>
      <w:bookmarkEnd w:id="126"/>
      <w:bookmarkEnd w:id="129"/>
    </w:p>
    <w:p w14:paraId="5086F069" w14:textId="77777777" w:rsidR="004005AF" w:rsidRPr="00EF7CF9" w:rsidRDefault="004005AF" w:rsidP="00F01ED6">
      <w:pPr>
        <w:pStyle w:val="ProductList-Body"/>
      </w:pPr>
      <w:r>
        <w:rPr>
          <w:b/>
          <w:color w:val="00188F"/>
        </w:rPr>
        <w:t>Definições Adicionais</w:t>
      </w:r>
      <w:r w:rsidRPr="00473DD3">
        <w:rPr>
          <w:b/>
          <w:color w:val="00188F"/>
        </w:rPr>
        <w:t>:</w:t>
      </w:r>
    </w:p>
    <w:p w14:paraId="26FEE8E0" w14:textId="77777777" w:rsidR="00E563FF" w:rsidRPr="009D002E" w:rsidRDefault="00E563FF" w:rsidP="00E563FF">
      <w:pPr>
        <w:pStyle w:val="ProductList-Body"/>
        <w:keepNext/>
        <w:rPr>
          <w:rFonts w:ascii="Calibri" w:hAnsi="Calibri" w:cs="Calibri"/>
        </w:rPr>
      </w:pPr>
      <w:bookmarkStart w:id="130" w:name="_Toc457821537"/>
      <w:bookmarkStart w:id="131" w:name="_Toc52348920"/>
      <w:r w:rsidRPr="009D002E">
        <w:rPr>
          <w:rFonts w:ascii="Calibri" w:hAnsi="Calibri" w:cs="Calibri"/>
        </w:rPr>
        <w:t>“</w:t>
      </w:r>
      <w:r w:rsidRPr="009D002E">
        <w:rPr>
          <w:rFonts w:ascii="Calibri" w:hAnsi="Calibri" w:cs="Calibri"/>
          <w:b/>
          <w:bCs/>
          <w:color w:val="00188F"/>
        </w:rPr>
        <w:t>Zona de Disponibilidade</w:t>
      </w:r>
      <w:r w:rsidRPr="009D002E">
        <w:rPr>
          <w:rFonts w:ascii="Calibri" w:hAnsi="Calibri" w:cs="Calibri"/>
        </w:rPr>
        <w:t>” designa uma área isolada de falhas numa região do Azure que providencia alimentação, refrigeração e rede redundantes.</w:t>
      </w:r>
    </w:p>
    <w:p w14:paraId="1C38A8E0"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Minutos de Implementação</w:t>
      </w:r>
      <w:r w:rsidRPr="009D002E">
        <w:rPr>
          <w:rFonts w:ascii="Calibri" w:hAnsi="Calibri" w:cs="Calibri"/>
        </w:rPr>
        <w:t xml:space="preserve">” </w:t>
      </w:r>
      <w:r w:rsidRPr="009D002E">
        <w:rPr>
          <w:rFonts w:ascii="Calibri" w:eastAsia="Tahoma" w:hAnsi="Calibri" w:cs="Calibri"/>
        </w:rPr>
        <w:t xml:space="preserve">designa o </w:t>
      </w:r>
      <w:r w:rsidRPr="009D002E">
        <w:rPr>
          <w:rFonts w:ascii="Calibri" w:hAnsi="Calibri" w:cs="Calibri"/>
        </w:rPr>
        <w:t>número total de minutos durante os quais uma determinada Aplicação foi definida para ser executada no Microsoft Azure durante um Período Aplicável.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44B36880"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Máximo de Minutos Disponíveis</w:t>
      </w:r>
      <w:r w:rsidRPr="009D002E">
        <w:rPr>
          <w:rFonts w:ascii="Calibri" w:hAnsi="Calibri" w:cs="Calibri"/>
        </w:rPr>
        <w:t>” designa a soma de todos os Minutos de Implementação em todas as Aplicações implementadas pelo Cliente numa determinada subscrição do Microsoft Azure durante um Período Aplicável</w:t>
      </w:r>
    </w:p>
    <w:p w14:paraId="31BCC926"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Aplicação</w:t>
      </w:r>
      <w:r w:rsidRPr="009D002E">
        <w:rPr>
          <w:rFonts w:ascii="Calibri" w:hAnsi="Calibri" w:cs="Calibri"/>
        </w:rPr>
        <w:t>” designa uma Aplicação Web, Aplicação Móvel, Aplicação API ou Aplicação Lógica implementada pelo Cliente no Serviço de Aplicações. O SLA é suportado quando é executado numa única instância e em múltiplas instâncias.</w:t>
      </w:r>
    </w:p>
    <w:p w14:paraId="327D77B2" w14:textId="77777777" w:rsidR="00E563FF" w:rsidRPr="009D002E" w:rsidRDefault="00E563FF" w:rsidP="00E563FF">
      <w:pPr>
        <w:pStyle w:val="ProductList-Body"/>
        <w:rPr>
          <w:rFonts w:ascii="Calibri" w:hAnsi="Calibri" w:cs="Calibri"/>
          <w:b/>
          <w:color w:val="00188F"/>
        </w:rPr>
      </w:pPr>
      <w:r w:rsidRPr="009D002E">
        <w:rPr>
          <w:rFonts w:ascii="Calibri" w:hAnsi="Calibri" w:cs="Calibri"/>
          <w:b/>
          <w:color w:val="00188F"/>
        </w:rPr>
        <w:t>Cálculo do Período de Disponibilidade e Níveis de Serviço para as Aplicações do Serviço de Aplicações nas Zonas de Disponibilidade</w:t>
      </w:r>
    </w:p>
    <w:p w14:paraId="1265A6AF"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72C6"/>
        </w:rPr>
        <w:t>Máximo de Minutos Disponíveis</w:t>
      </w:r>
      <w:r w:rsidRPr="009D002E">
        <w:rPr>
          <w:rFonts w:ascii="Calibri" w:hAnsi="Calibri" w:cs="Calibri"/>
        </w:rPr>
        <w:t>” designa o total acumulado de Minutos de Implementação em todas as Aplicações ativadas para a Zona de Disponibilidade implementadas pelo Cliente numa determinada subscrição do Microsoft Azure durante um Período Aplicável.</w:t>
      </w:r>
    </w:p>
    <w:p w14:paraId="60B831D5"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72C6"/>
        </w:rPr>
        <w:t>Período de Indisponibilidade</w:t>
      </w:r>
      <w:r w:rsidRPr="009D002E">
        <w:rPr>
          <w:rFonts w:ascii="Calibri" w:hAnsi="Calibri" w:cs="Calibri"/>
        </w:rPr>
        <w:t>” designa o total acumulado de Minutos de Implementação, em todas as Aplicações ativadas para a Zona de Disponibilidade implementadas pelo Cliente numa determinada subscrição do Microsoft Azure, durante os quais a Aplicação está indisponível. Um minuto é considerado indisponível para uma determinada Aplicação ativada para a Zona de Disponibilidade quando não existe nenhuma conectividade entre a Aplicação e o gateway de Internet da Microsoft.</w:t>
      </w:r>
    </w:p>
    <w:p w14:paraId="155CA34E" w14:textId="77777777" w:rsidR="00E563FF" w:rsidRPr="009D002E" w:rsidRDefault="00E563FF" w:rsidP="00E563FF">
      <w:pPr>
        <w:pStyle w:val="ProductList-Body"/>
        <w:rPr>
          <w:rFonts w:ascii="Calibri" w:hAnsi="Calibri" w:cs="Calibri"/>
        </w:rPr>
      </w:pPr>
      <w:r w:rsidRPr="009D002E">
        <w:rPr>
          <w:rFonts w:ascii="Calibri" w:hAnsi="Calibri" w:cs="Calibri"/>
        </w:rPr>
        <w:t>A “</w:t>
      </w:r>
      <w:r w:rsidRPr="009D002E">
        <w:rPr>
          <w:rFonts w:ascii="Calibri" w:hAnsi="Calibri" w:cs="Calibri"/>
          <w:b/>
          <w:color w:val="0072C6"/>
        </w:rPr>
        <w:t>Percentagem de Período de Disponibilidade</w:t>
      </w:r>
      <w:r w:rsidRPr="009D002E">
        <w:rPr>
          <w:rFonts w:ascii="Calibri" w:hAnsi="Calibri" w:cs="Calibri"/>
        </w:rPr>
        <w:t>” é calculada através da seguinte fórmula:</w:t>
      </w:r>
    </w:p>
    <w:p w14:paraId="1DF1A288" w14:textId="77777777" w:rsidR="00E563FF" w:rsidRDefault="00E563FF" w:rsidP="00E563FF">
      <w:pPr>
        <w:pStyle w:val="ProductList-Body"/>
        <w:ind w:left="360"/>
      </w:pPr>
    </w:p>
    <w:p w14:paraId="59F501EA" w14:textId="77777777" w:rsidR="00E563FF" w:rsidRDefault="00000000" w:rsidP="00E563FF">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275744ED" w14:textId="77777777" w:rsidR="00E563FF" w:rsidRPr="00EC3D00" w:rsidRDefault="00E563FF" w:rsidP="00E563FF">
      <w:pPr>
        <w:pStyle w:val="ProductList-Body"/>
        <w:rPr>
          <w:rFonts w:ascii="Calibri" w:hAnsi="Calibri" w:cs="Calibri"/>
        </w:rPr>
      </w:pPr>
      <w:r>
        <w:rPr>
          <w:rFonts w:ascii="Calibri" w:hAnsi="Calibri" w:cs="Calibri"/>
          <w:b/>
          <w:color w:val="0072C6"/>
        </w:rPr>
        <w:t>Crédito de Serviço</w:t>
      </w:r>
      <w:r w:rsidRPr="00110E2F">
        <w:rPr>
          <w:rFonts w:ascii="Calibri" w:hAnsi="Calibri" w:cs="Calibri"/>
          <w:b/>
          <w:color w:val="0072C6"/>
        </w:rPr>
        <w:t>:</w:t>
      </w:r>
    </w:p>
    <w:p w14:paraId="59FC068C" w14:textId="77777777" w:rsidR="00E563FF" w:rsidRPr="00EC3D00" w:rsidRDefault="00E563FF" w:rsidP="00E563FF">
      <w:pPr>
        <w:pStyle w:val="ProductList-Body"/>
        <w:rPr>
          <w:rFonts w:ascii="Calibri" w:hAnsi="Calibri" w:cs="Calibri"/>
        </w:rPr>
      </w:pPr>
      <w:r>
        <w:rPr>
          <w:rFonts w:ascii="Calibri" w:hAnsi="Calibri" w:cs="Calibri"/>
        </w:rPr>
        <w:t>Os seguintes Níveis de Serviço e Créditos de Serviço são aplicáveis à utilização que o Cliente faz das Aplicações, implementadas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63FF" w14:paraId="199D7678"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40985"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3DF2EF"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E563FF" w14:paraId="4161B135"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D6A38C"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D1669"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10%</w:t>
            </w:r>
          </w:p>
        </w:tc>
      </w:tr>
      <w:tr w:rsidR="00E563FF" w14:paraId="15EE987F"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809DB"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EFAF7"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25%</w:t>
            </w:r>
          </w:p>
        </w:tc>
      </w:tr>
      <w:tr w:rsidR="00E563FF" w14:paraId="52863B13"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CED8A"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1CA2E"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100%</w:t>
            </w:r>
          </w:p>
        </w:tc>
      </w:tr>
    </w:tbl>
    <w:p w14:paraId="02952531" w14:textId="77777777" w:rsidR="00E563FF" w:rsidRDefault="00E563FF" w:rsidP="00E563FF">
      <w:pPr>
        <w:pStyle w:val="ProductList-Body"/>
        <w:ind w:left="360"/>
      </w:pPr>
    </w:p>
    <w:p w14:paraId="2EC081BF" w14:textId="77777777" w:rsidR="00E563FF" w:rsidRPr="008D4657" w:rsidRDefault="00E563FF" w:rsidP="00E563FF">
      <w:pPr>
        <w:pStyle w:val="ProductList-Body"/>
        <w:rPr>
          <w:rFonts w:ascii="Calibri" w:hAnsi="Calibri" w:cs="Calibri"/>
          <w:b/>
          <w:color w:val="00188F"/>
        </w:rPr>
      </w:pPr>
      <w:r w:rsidRPr="008D4657">
        <w:rPr>
          <w:rFonts w:ascii="Calibri" w:hAnsi="Calibri" w:cs="Calibri"/>
          <w:b/>
          <w:color w:val="00188F"/>
        </w:rPr>
        <w:t>Cálculo de Período de Disponibilidade e dos Níveis de Serviço para as Aplicações do Serviço de Aplicações que não utilizam Zonas de Disponibilidade</w:t>
      </w:r>
    </w:p>
    <w:p w14:paraId="2A3E5807" w14:textId="77777777" w:rsidR="00E563FF" w:rsidRPr="008D4657" w:rsidRDefault="00E563FF" w:rsidP="00E563FF">
      <w:pPr>
        <w:pStyle w:val="ProductList-Body"/>
        <w:rPr>
          <w:rFonts w:ascii="Calibri" w:hAnsi="Calibri" w:cs="Calibri"/>
        </w:rPr>
      </w:pPr>
      <w:r w:rsidRPr="008D4657">
        <w:rPr>
          <w:rFonts w:ascii="Calibri" w:hAnsi="Calibri" w:cs="Calibri"/>
        </w:rPr>
        <w:t>“</w:t>
      </w:r>
      <w:r w:rsidRPr="008D4657">
        <w:rPr>
          <w:rFonts w:ascii="Calibri" w:hAnsi="Calibri" w:cs="Calibri"/>
          <w:b/>
          <w:color w:val="0072C6"/>
        </w:rPr>
        <w:t>Máximo de Minutos Disponíveis</w:t>
      </w:r>
      <w:r w:rsidRPr="008D4657">
        <w:rPr>
          <w:rFonts w:ascii="Calibri" w:hAnsi="Calibri" w:cs="Calibri"/>
        </w:rPr>
        <w:t>” designa o total acumulado de Minutos de Implementação em todas as Aplicações implementadas pelo Cliente numa determinada subscrição do Microsoft Azure durante um Período Aplicável.</w:t>
      </w:r>
    </w:p>
    <w:p w14:paraId="34C3D4A4" w14:textId="77777777" w:rsidR="00E563FF" w:rsidRPr="008D4657" w:rsidRDefault="00E563FF" w:rsidP="00E563FF">
      <w:pPr>
        <w:pStyle w:val="ProductList-Body"/>
        <w:rPr>
          <w:rFonts w:ascii="Calibri" w:hAnsi="Calibri" w:cs="Calibri"/>
        </w:rPr>
      </w:pPr>
      <w:r w:rsidRPr="008D4657">
        <w:rPr>
          <w:rFonts w:ascii="Calibri" w:hAnsi="Calibri" w:cs="Calibri"/>
        </w:rPr>
        <w:t>“</w:t>
      </w:r>
      <w:r w:rsidRPr="008D4657">
        <w:rPr>
          <w:rFonts w:ascii="Calibri" w:hAnsi="Calibri" w:cs="Calibri"/>
          <w:b/>
          <w:color w:val="0072C6"/>
        </w:rPr>
        <w:t>Período de Indisponibilidade</w:t>
      </w:r>
      <w:r w:rsidRPr="008D4657">
        <w:rPr>
          <w:rFonts w:ascii="Calibri" w:hAnsi="Calibri" w:cs="Calibri"/>
        </w:rPr>
        <w:t>” designa o total acumulado de Minutos de Implementação,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57C17816" w14:textId="77777777" w:rsidR="00E563FF" w:rsidRPr="008D4657" w:rsidRDefault="00E563FF" w:rsidP="00E563FF">
      <w:pPr>
        <w:pStyle w:val="ProductList-Body"/>
        <w:rPr>
          <w:rFonts w:ascii="Calibri" w:hAnsi="Calibri" w:cs="Calibri"/>
        </w:rPr>
      </w:pPr>
      <w:r w:rsidRPr="008D4657">
        <w:rPr>
          <w:rFonts w:ascii="Calibri" w:hAnsi="Calibri" w:cs="Calibri"/>
        </w:rPr>
        <w:t>A “</w:t>
      </w:r>
      <w:r w:rsidRPr="008D4657">
        <w:rPr>
          <w:rFonts w:ascii="Calibri" w:hAnsi="Calibri" w:cs="Calibri"/>
          <w:b/>
          <w:color w:val="0072C6"/>
        </w:rPr>
        <w:t>Percentagem de Período de Disponibilidade</w:t>
      </w:r>
      <w:r w:rsidRPr="008D4657">
        <w:rPr>
          <w:rFonts w:ascii="Calibri" w:hAnsi="Calibri" w:cs="Calibri"/>
        </w:rPr>
        <w:t>” é calculada através da seguinte fórmula:</w:t>
      </w:r>
    </w:p>
    <w:p w14:paraId="3428BC09" w14:textId="77777777" w:rsidR="00E563FF" w:rsidRPr="009A5BC1" w:rsidRDefault="00E563FF" w:rsidP="00E563FF">
      <w:pPr>
        <w:pStyle w:val="ProductList-Body"/>
        <w:rPr>
          <w:sz w:val="12"/>
          <w:szCs w:val="12"/>
        </w:rPr>
      </w:pPr>
    </w:p>
    <w:p w14:paraId="56538AD3" w14:textId="3FFB444B" w:rsidR="001E0CE1" w:rsidRPr="00566946" w:rsidRDefault="00000000" w:rsidP="0056694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8ECBC" w14:textId="29E1CBC8" w:rsidR="00E563FF" w:rsidRPr="00EC3D00" w:rsidRDefault="00E563FF" w:rsidP="00E563FF">
      <w:pPr>
        <w:pStyle w:val="ProductList-Body"/>
        <w:keepNext/>
        <w:rPr>
          <w:rFonts w:ascii="Calibri" w:hAnsi="Calibri" w:cs="Calibri"/>
        </w:rPr>
      </w:pPr>
      <w:r>
        <w:rPr>
          <w:rFonts w:ascii="Calibri" w:hAnsi="Calibri" w:cs="Calibri"/>
          <w:b/>
          <w:color w:val="00188F"/>
        </w:rPr>
        <w:lastRenderedPageBreak/>
        <w:t>Crédito de Serviço</w:t>
      </w:r>
      <w:r w:rsidRPr="00FA7D6E">
        <w:rPr>
          <w:rFonts w:ascii="Calibri" w:hAnsi="Calibri" w:cs="Calibri"/>
          <w:b/>
          <w:color w:val="00188F"/>
        </w:rPr>
        <w:t>:</w:t>
      </w:r>
    </w:p>
    <w:p w14:paraId="52AED3E5" w14:textId="77777777" w:rsidR="00E563FF" w:rsidRPr="00EC3D00" w:rsidRDefault="00E563FF" w:rsidP="00E563FF">
      <w:pPr>
        <w:pStyle w:val="ProductList-Body"/>
        <w:rPr>
          <w:rFonts w:ascii="Calibri" w:hAnsi="Calibri" w:cs="Calibri"/>
        </w:rPr>
      </w:pPr>
      <w:r>
        <w:rPr>
          <w:rFonts w:ascii="Calibri" w:hAnsi="Calibri" w:cs="Calibri"/>
        </w:rPr>
        <w:t>Os seguintes Níveis de Serviço e Créditos de Serviço são aplicáveis à utilização que o Cliente faz das Aplicações que não utilizam Zonas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63FF" w:rsidRPr="00B44CF9" w14:paraId="2FC19E57" w14:textId="77777777" w:rsidTr="00E50F69">
        <w:trPr>
          <w:tblHeader/>
        </w:trPr>
        <w:tc>
          <w:tcPr>
            <w:tcW w:w="5400" w:type="dxa"/>
            <w:shd w:val="clear" w:color="auto" w:fill="0072C6"/>
          </w:tcPr>
          <w:p w14:paraId="1803CBBD"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64ABD971"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E563FF" w:rsidRPr="00B44CF9" w14:paraId="6F055244" w14:textId="77777777" w:rsidTr="00E50F69">
        <w:tc>
          <w:tcPr>
            <w:tcW w:w="5400" w:type="dxa"/>
          </w:tcPr>
          <w:p w14:paraId="31E444BA" w14:textId="77777777" w:rsidR="00E563FF" w:rsidRPr="00EC3D00" w:rsidRDefault="00E563FF" w:rsidP="00E50F69">
            <w:pPr>
              <w:pStyle w:val="ProductList-OfferingBody"/>
              <w:jc w:val="center"/>
              <w:rPr>
                <w:rFonts w:ascii="Calibri" w:hAnsi="Calibri" w:cs="Calibri"/>
              </w:rPr>
            </w:pPr>
            <w:r>
              <w:rPr>
                <w:rFonts w:ascii="Calibri" w:hAnsi="Calibri" w:cs="Calibri"/>
              </w:rPr>
              <w:t>&lt; 99,95%</w:t>
            </w:r>
          </w:p>
        </w:tc>
        <w:tc>
          <w:tcPr>
            <w:tcW w:w="5400" w:type="dxa"/>
          </w:tcPr>
          <w:p w14:paraId="1D2D543C" w14:textId="77777777" w:rsidR="00E563FF" w:rsidRPr="00EC3D00" w:rsidRDefault="00E563FF" w:rsidP="00E50F69">
            <w:pPr>
              <w:pStyle w:val="ProductList-OfferingBody"/>
              <w:jc w:val="center"/>
              <w:rPr>
                <w:rFonts w:ascii="Calibri" w:hAnsi="Calibri" w:cs="Calibri"/>
              </w:rPr>
            </w:pPr>
            <w:r>
              <w:rPr>
                <w:rFonts w:ascii="Calibri" w:hAnsi="Calibri" w:cs="Calibri"/>
              </w:rPr>
              <w:t>10%</w:t>
            </w:r>
          </w:p>
        </w:tc>
      </w:tr>
      <w:tr w:rsidR="00E563FF" w:rsidRPr="00B44CF9" w14:paraId="3FF8144F" w14:textId="77777777" w:rsidTr="00E50F69">
        <w:tc>
          <w:tcPr>
            <w:tcW w:w="5400" w:type="dxa"/>
          </w:tcPr>
          <w:p w14:paraId="3A31FE0E" w14:textId="77777777" w:rsidR="00E563FF" w:rsidRPr="00EC3D00" w:rsidRDefault="00E563FF" w:rsidP="00E50F69">
            <w:pPr>
              <w:pStyle w:val="ProductList-OfferingBody"/>
              <w:jc w:val="center"/>
              <w:rPr>
                <w:rFonts w:ascii="Calibri" w:hAnsi="Calibri" w:cs="Calibri"/>
              </w:rPr>
            </w:pPr>
            <w:r>
              <w:rPr>
                <w:rFonts w:ascii="Calibri" w:hAnsi="Calibri" w:cs="Calibri"/>
              </w:rPr>
              <w:t>&lt; 99%</w:t>
            </w:r>
          </w:p>
        </w:tc>
        <w:tc>
          <w:tcPr>
            <w:tcW w:w="5400" w:type="dxa"/>
          </w:tcPr>
          <w:p w14:paraId="2AEC2299" w14:textId="77777777" w:rsidR="00E563FF" w:rsidRPr="00EC3D00" w:rsidRDefault="00E563FF" w:rsidP="00E50F69">
            <w:pPr>
              <w:pStyle w:val="ProductList-OfferingBody"/>
              <w:jc w:val="center"/>
              <w:rPr>
                <w:rFonts w:ascii="Calibri" w:hAnsi="Calibri" w:cs="Calibri"/>
              </w:rPr>
            </w:pPr>
            <w:r>
              <w:rPr>
                <w:rFonts w:ascii="Calibri" w:hAnsi="Calibri" w:cs="Calibri"/>
              </w:rPr>
              <w:t>25%</w:t>
            </w:r>
          </w:p>
        </w:tc>
      </w:tr>
      <w:tr w:rsidR="00E563FF" w:rsidRPr="00B44CF9" w14:paraId="4AFB6F3A" w14:textId="77777777" w:rsidTr="00E50F69">
        <w:tc>
          <w:tcPr>
            <w:tcW w:w="5400" w:type="dxa"/>
          </w:tcPr>
          <w:p w14:paraId="2B2FF48A" w14:textId="77777777" w:rsidR="00E563FF" w:rsidRPr="00EC3D00" w:rsidRDefault="00E563FF" w:rsidP="00E50F69">
            <w:pPr>
              <w:pStyle w:val="ProductList-OfferingBody"/>
              <w:jc w:val="center"/>
              <w:rPr>
                <w:rFonts w:ascii="Calibri" w:hAnsi="Calibri" w:cs="Calibri"/>
              </w:rPr>
            </w:pPr>
            <w:r>
              <w:rPr>
                <w:rFonts w:ascii="Calibri" w:hAnsi="Calibri" w:cs="Calibri"/>
              </w:rPr>
              <w:t>&lt; 95%</w:t>
            </w:r>
          </w:p>
        </w:tc>
        <w:tc>
          <w:tcPr>
            <w:tcW w:w="5400" w:type="dxa"/>
          </w:tcPr>
          <w:p w14:paraId="69C523CD" w14:textId="77777777" w:rsidR="00E563FF" w:rsidRPr="00EC3D00" w:rsidRDefault="00E563FF" w:rsidP="00E50F69">
            <w:pPr>
              <w:pStyle w:val="ProductList-OfferingBody"/>
              <w:jc w:val="center"/>
              <w:rPr>
                <w:rFonts w:ascii="Calibri" w:hAnsi="Calibri" w:cs="Calibri"/>
              </w:rPr>
            </w:pPr>
            <w:r>
              <w:rPr>
                <w:rFonts w:ascii="Calibri" w:hAnsi="Calibri" w:cs="Calibri"/>
              </w:rPr>
              <w:t>100%</w:t>
            </w:r>
          </w:p>
        </w:tc>
      </w:tr>
    </w:tbl>
    <w:p w14:paraId="2AE6D24C" w14:textId="77777777" w:rsidR="00E563FF" w:rsidRDefault="00E563FF" w:rsidP="00E563FF">
      <w:pPr>
        <w:pStyle w:val="ProductList-Body"/>
        <w:spacing w:before="120"/>
        <w:rPr>
          <w:rFonts w:ascii="Calibri" w:hAnsi="Calibri" w:cs="Calibri"/>
        </w:rPr>
      </w:pPr>
      <w:r>
        <w:rPr>
          <w:rFonts w:ascii="Calibri" w:hAnsi="Calibri" w:cs="Calibri"/>
          <w:b/>
          <w:bCs/>
          <w:color w:val="00188F"/>
        </w:rPr>
        <w:t>Termos Adicionais</w:t>
      </w:r>
      <w:r w:rsidRPr="00140BB8">
        <w:rPr>
          <w:rFonts w:ascii="Calibri" w:hAnsi="Calibri" w:cs="Calibri"/>
          <w:b/>
          <w:bCs/>
          <w:color w:val="00188F"/>
        </w:rPr>
        <w:t>:</w:t>
      </w:r>
      <w:r>
        <w:rPr>
          <w:rFonts w:ascii="Calibri" w:hAnsi="Calibri" w:cs="Calibri"/>
          <w:b/>
          <w:bCs/>
          <w:color w:val="00188F"/>
        </w:rPr>
        <w:t xml:space="preserve"> </w:t>
      </w:r>
      <w:r>
        <w:rPr>
          <w:rFonts w:ascii="Calibri" w:hAnsi="Calibri" w:cs="Calibri"/>
        </w:rPr>
        <w:t>Os Créditos de Serviço só são aplicáveis a taxas passíveis de serem atribuídas à utilização que o Cliente faz das Aplicações Web, Aplicações Móveis, Aplicações API ou Aplicações Lógicas e não a taxas passíveis de serem atribuídas a outros tipos de aplicações disponíveis através do Serviço de Aplicações, que não são cobertas por este SLA.</w:t>
      </w:r>
    </w:p>
    <w:p w14:paraId="3FD80881" w14:textId="1046DD3E" w:rsidR="00A93A5F" w:rsidRPr="00A93A5F" w:rsidRDefault="00A93A5F" w:rsidP="00E563FF">
      <w:pPr>
        <w:pStyle w:val="ProductList-Body"/>
        <w:spacing w:before="120"/>
        <w:rPr>
          <w:rFonts w:ascii="Calibri" w:hAnsi="Calibri" w:cs="Calibri"/>
          <w:szCs w:val="18"/>
        </w:rPr>
      </w:pPr>
      <w:r w:rsidRPr="00212951">
        <w:rPr>
          <w:rFonts w:ascii="Calibri" w:hAnsi="Calibri" w:cs="Calibri"/>
          <w:szCs w:val="18"/>
        </w:rPr>
        <w:t>A partir de 1 de setembro de 2024, o Ambiente do Serviço de Aplicações versão 1 e versão 2 são funcionalidades do Serviço retiradas e as respetivas Janelas de Suporte expiraram. O App Service já não oferece quaisquer garantias de Nível de Serviço e, por extensão, Créditos de Serviço, para problemas de desempenho ou disponibilidade relacionados com cargas de trabalho em execução no Ambiente do Serviço de Aplicações versão 1 e versão 2.</w:t>
      </w:r>
    </w:p>
    <w:p w14:paraId="72C8A5C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11F9D7C6" w14:textId="77777777" w:rsidR="004005AF" w:rsidRPr="00EF7CF9" w:rsidRDefault="004005AF" w:rsidP="00F01ED6">
      <w:pPr>
        <w:pStyle w:val="ProductList-Offering2Heading"/>
        <w:tabs>
          <w:tab w:val="clear" w:pos="360"/>
          <w:tab w:val="clear" w:pos="720"/>
          <w:tab w:val="clear" w:pos="1080"/>
        </w:tabs>
        <w:outlineLvl w:val="2"/>
      </w:pPr>
      <w:bookmarkStart w:id="132" w:name="_Toc214456767"/>
      <w:r>
        <w:t>Gateway de Aplicação</w:t>
      </w:r>
      <w:bookmarkEnd w:id="130"/>
      <w:bookmarkEnd w:id="131"/>
      <w:bookmarkEnd w:id="132"/>
    </w:p>
    <w:p w14:paraId="38D78F29" w14:textId="77777777" w:rsidR="004005AF" w:rsidRPr="00EF7CF9" w:rsidRDefault="004005AF" w:rsidP="00F01ED6">
      <w:pPr>
        <w:pStyle w:val="ProductList-Body"/>
      </w:pPr>
      <w:r>
        <w:rPr>
          <w:b/>
          <w:color w:val="00188F"/>
        </w:rPr>
        <w:t>Definições Adicionais</w:t>
      </w:r>
      <w:r w:rsidRPr="00473DD3">
        <w:rPr>
          <w:b/>
          <w:color w:val="00188F"/>
        </w:rPr>
        <w:t>:</w:t>
      </w:r>
    </w:p>
    <w:p w14:paraId="409BF5A1" w14:textId="044F984E" w:rsidR="004005AF" w:rsidRPr="00EF7CF9" w:rsidRDefault="00380305" w:rsidP="00F01ED6">
      <w:pPr>
        <w:pStyle w:val="ProductList-Body"/>
        <w:spacing w:after="40"/>
      </w:pPr>
      <w:r>
        <w:t>“</w:t>
      </w:r>
      <w:r w:rsidR="004005AF">
        <w:rPr>
          <w:b/>
          <w:color w:val="00188F"/>
        </w:rPr>
        <w:t>Serviço em Nuvem de Gateway de Aplicação</w:t>
      </w:r>
      <w:r>
        <w:t>”</w:t>
      </w:r>
      <w:r w:rsidR="004005AF">
        <w:t xml:space="preserve"> designa uma coleção de duas ou mais instâncias ou implementações de média ou grande dimensão</w:t>
      </w:r>
      <w:r w:rsidR="00007391">
        <w:t> </w:t>
      </w:r>
      <w:r w:rsidR="004005AF">
        <w:t>do Gateway de Aplicação capazes de suportar escala automática ou redundância por zona, configuradas para executarem serviços de</w:t>
      </w:r>
      <w:r w:rsidR="00007391">
        <w:t> </w:t>
      </w:r>
      <w:r w:rsidR="004005AF">
        <w:t>balanceamento de carga HTTP.</w:t>
      </w:r>
    </w:p>
    <w:p w14:paraId="3A2B043F" w14:textId="0B6CEDB6"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o total de minutos acumulados durante um Período Aplicável durante o qual um determinado Serviço em Nuvem de Gateway de Aplicação tenha sido implementado numa subscrição do Microsoft Azure.</w:t>
      </w:r>
    </w:p>
    <w:p w14:paraId="27881ED1" w14:textId="39A2BE80" w:rsidR="004005AF" w:rsidRPr="00EF7CF9" w:rsidRDefault="004005AF" w:rsidP="00F01ED6">
      <w:pPr>
        <w:pStyle w:val="ProductList-Body"/>
      </w:pPr>
      <w:r>
        <w:rPr>
          <w:b/>
          <w:color w:val="00188F"/>
        </w:rPr>
        <w:t>Período de Indisponibilidade</w:t>
      </w:r>
      <w:r w:rsidRPr="00473DD3">
        <w:rPr>
          <w:b/>
          <w:color w:val="00188F"/>
        </w:rPr>
        <w:t>:</w:t>
      </w:r>
      <w:r>
        <w:t xml:space="preserve"> designa o total acumulado de Máximo de Minutos Disponíveis durante um Período Aplicável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71CE672F" w14:textId="5E7BA27A" w:rsidR="004005AF" w:rsidRDefault="00AC48A7" w:rsidP="00044317">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BD3EAA" w14:textId="77777777" w:rsidR="00173870" w:rsidRPr="00EF7CF9" w:rsidRDefault="00173870" w:rsidP="00F01ED6">
      <w:pPr>
        <w:pStyle w:val="ProductList-Body"/>
      </w:pPr>
    </w:p>
    <w:p w14:paraId="7F8325E7" w14:textId="11E086FB" w:rsidR="004005AF" w:rsidRPr="00EF7CF9" w:rsidRDefault="00000000" w:rsidP="00E563F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551F90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69497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277097">
        <w:tc>
          <w:tcPr>
            <w:tcW w:w="5400" w:type="dxa"/>
          </w:tcPr>
          <w:p w14:paraId="146FF228" w14:textId="77777777" w:rsidR="004005AF" w:rsidRPr="00EF7CF9" w:rsidRDefault="004005AF" w:rsidP="00F01ED6">
            <w:pPr>
              <w:pStyle w:val="ProductList-OfferingBody"/>
              <w:jc w:val="center"/>
            </w:pPr>
            <w:r>
              <w:t>&lt; 99,95%</w:t>
            </w:r>
          </w:p>
        </w:tc>
        <w:tc>
          <w:tcPr>
            <w:tcW w:w="5400" w:type="dxa"/>
          </w:tcPr>
          <w:p w14:paraId="25A99F4E" w14:textId="77777777" w:rsidR="004005AF" w:rsidRPr="00EF7CF9" w:rsidRDefault="004005AF" w:rsidP="00F01ED6">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F01ED6">
            <w:pPr>
              <w:pStyle w:val="ProductList-OfferingBody"/>
              <w:jc w:val="center"/>
            </w:pPr>
            <w:r>
              <w:t>&lt; 99%</w:t>
            </w:r>
          </w:p>
        </w:tc>
        <w:tc>
          <w:tcPr>
            <w:tcW w:w="5400" w:type="dxa"/>
          </w:tcPr>
          <w:p w14:paraId="5322A0A3" w14:textId="77777777" w:rsidR="004005AF" w:rsidRPr="00EF7CF9" w:rsidRDefault="004005AF" w:rsidP="00F01ED6">
            <w:pPr>
              <w:pStyle w:val="ProductList-OfferingBody"/>
              <w:jc w:val="center"/>
            </w:pPr>
            <w:r>
              <w:t>25%</w:t>
            </w:r>
          </w:p>
        </w:tc>
      </w:tr>
    </w:tbl>
    <w:bookmarkStart w:id="133" w:name="_Toc526859647"/>
    <w:bookmarkStart w:id="134" w:name="_Toc527039296"/>
    <w:bookmarkStart w:id="135" w:name="_Toc52348921"/>
    <w:bookmarkStart w:id="136" w:name="ApplicationInsights"/>
    <w:bookmarkStart w:id="137" w:name="_Toc457821538"/>
    <w:p w14:paraId="6857B07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45E737" w14:textId="340931FA" w:rsidR="00673D78" w:rsidRDefault="00673D78" w:rsidP="00673D78">
      <w:pPr>
        <w:pStyle w:val="ProductList-Offering2Heading"/>
        <w:tabs>
          <w:tab w:val="clear" w:pos="360"/>
          <w:tab w:val="clear" w:pos="720"/>
          <w:tab w:val="clear" w:pos="1080"/>
        </w:tabs>
        <w:outlineLvl w:val="2"/>
      </w:pPr>
      <w:bookmarkStart w:id="138" w:name="_Toc214456768"/>
      <w:r>
        <w:t>Gateway de Aplicação para Conte</w:t>
      </w:r>
      <w:r w:rsidR="00FB5759">
        <w:t>ntores</w:t>
      </w:r>
      <w:bookmarkEnd w:id="138"/>
    </w:p>
    <w:p w14:paraId="24CFA761" w14:textId="77777777" w:rsidR="00C60C0B" w:rsidRPr="00420E5B" w:rsidRDefault="00C60C0B" w:rsidP="00C60C0B">
      <w:pPr>
        <w:pStyle w:val="ProductList-Body"/>
        <w:rPr>
          <w:rFonts w:ascii="Calibri" w:hAnsi="Calibri" w:cs="Calibri"/>
        </w:rPr>
      </w:pPr>
      <w:r>
        <w:rPr>
          <w:rFonts w:ascii="Calibri" w:hAnsi="Calibri" w:cs="Calibri"/>
          <w:b/>
          <w:color w:val="00188F"/>
        </w:rPr>
        <w:t>Definições Adicionais</w:t>
      </w:r>
      <w:r w:rsidRPr="00924CFC">
        <w:rPr>
          <w:rFonts w:ascii="Calibri" w:hAnsi="Calibri" w:cs="Calibri"/>
          <w:b/>
          <w:bCs/>
        </w:rPr>
        <w:t>:</w:t>
      </w:r>
    </w:p>
    <w:p w14:paraId="4D54EE88"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Gateway de Aplicação para Contentores</w:t>
      </w:r>
      <w:r>
        <w:rPr>
          <w:rFonts w:ascii="Calibri" w:hAnsi="Calibri" w:cs="Calibri"/>
        </w:rPr>
        <w:t>” designa os conceitos de plano de controlo e plano de dados para prestar serviços de balanceamento de carga HTTP.</w:t>
      </w:r>
    </w:p>
    <w:p w14:paraId="4E4FBD62"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Controlador ALB</w:t>
      </w:r>
      <w:r>
        <w:rPr>
          <w:rFonts w:ascii="Calibri" w:hAnsi="Calibri" w:cs="Calibri"/>
        </w:rPr>
        <w:t>” designa o componente instalado no cluster de Kubernetes do cliente que é responsável pela conversão e transmissão da configuração definida pelo utilizador no cluster de Kubernetes para o Gateway de Aplicação para Contentores.</w:t>
      </w:r>
    </w:p>
    <w:p w14:paraId="64213A9B"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o total de minutos acumulados num mês de faturação durante o qual um Serviço de Gateway de Aplicação para Contentores foi implementado numa subscrição do Azure.</w:t>
      </w:r>
    </w:p>
    <w:p w14:paraId="69D23CA0"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Controlo</w:t>
      </w:r>
      <w:r>
        <w:rPr>
          <w:rFonts w:ascii="Calibri" w:hAnsi="Calibri" w:cs="Calibri"/>
        </w:rPr>
        <w:t>” designa o total de minutos acumulados num mês de faturação para um determinado recurso do Gateway de Aplicação para Contentores durante o qual as alterações ao plano de controlo do Gateway de Aplicação para Contentores estão indisponíveis. Um determinado minuto é considerado indisponível se todas as ligações iniciadas pelo Controlador ALB do Gateway de Aplicação para Contentor ao longo do minuto falharem.</w:t>
      </w:r>
    </w:p>
    <w:p w14:paraId="416CAAAE"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Dados</w:t>
      </w:r>
      <w:r>
        <w:rPr>
          <w:rFonts w:ascii="Calibri" w:hAnsi="Calibri" w:cs="Calibri"/>
        </w:rPr>
        <w:t>” designa o total de minutos acumulados num mês de faturação para uma determinada implementação do Gateway de Aplicação para Contentores durante o qual o plano de dados do Gateway de Aplicação para Contentores está indisponível. Um determinado minuto é considerado indisponível se todas as tentativas de ligação a um front-end do Gateway de Aplicação para Contentores durante esse minuto falharem.</w:t>
      </w:r>
    </w:p>
    <w:p w14:paraId="00DCA5EA" w14:textId="77777777" w:rsidR="00C60C0B" w:rsidRPr="00420E5B" w:rsidRDefault="00C60C0B" w:rsidP="00C60C0B">
      <w:pPr>
        <w:pStyle w:val="ProductList-Body"/>
        <w:spacing w:after="40"/>
        <w:rPr>
          <w:rFonts w:ascii="Calibri" w:hAnsi="Calibri" w:cs="Calibri"/>
        </w:rPr>
      </w:pPr>
      <w:r>
        <w:rPr>
          <w:rFonts w:ascii="Calibri" w:hAnsi="Calibri" w:cs="Calibri"/>
          <w:b/>
          <w:color w:val="00188F"/>
        </w:rPr>
        <w:lastRenderedPageBreak/>
        <w:t>Percentagem de Período de Disponibilidade Mensal</w:t>
      </w:r>
      <w:r w:rsidRPr="00924CFC">
        <w:rPr>
          <w:rFonts w:ascii="Calibri" w:hAnsi="Calibri" w:cs="Calibri"/>
          <w:b/>
          <w:bCs/>
        </w:rPr>
        <w:t>:</w:t>
      </w:r>
      <w:r>
        <w:rPr>
          <w:rFonts w:ascii="Calibri" w:hAnsi="Calibri" w:cs="Calibri"/>
        </w:rPr>
        <w:t xml:space="preserve"> A Percentagem de Período de Disponibilidade Mensal é calculada através da seguinte fórmula:</w:t>
      </w:r>
    </w:p>
    <w:p w14:paraId="2BD5A72C" w14:textId="77777777" w:rsidR="00C60C0B" w:rsidRDefault="00C60C0B" w:rsidP="00C60C0B">
      <w:pPr>
        <w:pStyle w:val="ProductList-Body"/>
      </w:pPr>
    </w:p>
    <w:p w14:paraId="0222BC53" w14:textId="5BD8C97A" w:rsidR="001E0CE1" w:rsidRPr="00566946" w:rsidRDefault="00000000" w:rsidP="00C60C0B">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Máximo de Minutos Disponíveis-Período de Indisponibilidade do Plano de Controlo-Período de Indisponibilidade do Plano de Dados</m:t>
              </m:r>
            </m:num>
            <m:den>
              <m:r>
                <m:rPr>
                  <m:nor/>
                </m:rPr>
                <w:rPr>
                  <w:rFonts w:ascii="Cambria Math" w:hAnsi="Cambria Math" w:cs="Tahoma"/>
                  <w:i/>
                  <w:szCs w:val="18"/>
                </w:rPr>
                <m:t>Máximo de Minutos Disponíveis</m:t>
              </m:r>
            </m:den>
          </m:f>
        </m:oMath>
      </m:oMathPara>
    </w:p>
    <w:p w14:paraId="18200C68" w14:textId="5E01B251" w:rsidR="00C60C0B" w:rsidRPr="00420E5B" w:rsidRDefault="00C60C0B" w:rsidP="00C60C0B">
      <w:pPr>
        <w:pStyle w:val="ProductList-Body"/>
        <w:rPr>
          <w:rFonts w:ascii="Calibri" w:hAnsi="Calibri" w:cs="Calibri"/>
        </w:rPr>
      </w:pPr>
      <w:r>
        <w:rPr>
          <w:rFonts w:ascii="Calibri" w:hAnsi="Calibri" w:cs="Calibri"/>
          <w:b/>
          <w:color w:val="00188F"/>
        </w:rPr>
        <w:t>Crédito de Serviço</w:t>
      </w:r>
      <w:r w:rsidRPr="00924C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0C0B" w:rsidRPr="00B44CF9" w14:paraId="13E21EE5" w14:textId="77777777" w:rsidTr="00661DF9">
        <w:trPr>
          <w:tblHeader/>
        </w:trPr>
        <w:tc>
          <w:tcPr>
            <w:tcW w:w="5400" w:type="dxa"/>
            <w:shd w:val="clear" w:color="auto" w:fill="0072C6"/>
          </w:tcPr>
          <w:p w14:paraId="2088BBBD"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3896FFDA"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C60C0B" w:rsidRPr="00B44CF9" w14:paraId="41EBD30A" w14:textId="77777777" w:rsidTr="00661DF9">
        <w:tc>
          <w:tcPr>
            <w:tcW w:w="5400" w:type="dxa"/>
          </w:tcPr>
          <w:p w14:paraId="64C802B8" w14:textId="77777777" w:rsidR="00C60C0B" w:rsidRPr="00420E5B" w:rsidRDefault="00C60C0B" w:rsidP="00661DF9">
            <w:pPr>
              <w:pStyle w:val="ProductList-OfferingBody"/>
              <w:jc w:val="center"/>
              <w:rPr>
                <w:rFonts w:ascii="Calibri" w:hAnsi="Calibri" w:cs="Calibri"/>
              </w:rPr>
            </w:pPr>
            <w:r>
              <w:rPr>
                <w:rFonts w:ascii="Calibri" w:hAnsi="Calibri" w:cs="Calibri"/>
              </w:rPr>
              <w:t>&lt; 99,95%</w:t>
            </w:r>
          </w:p>
        </w:tc>
        <w:tc>
          <w:tcPr>
            <w:tcW w:w="5400" w:type="dxa"/>
          </w:tcPr>
          <w:p w14:paraId="681D2A47" w14:textId="77777777" w:rsidR="00C60C0B" w:rsidRPr="00420E5B" w:rsidRDefault="00C60C0B" w:rsidP="00661DF9">
            <w:pPr>
              <w:pStyle w:val="ProductList-OfferingBody"/>
              <w:jc w:val="center"/>
              <w:rPr>
                <w:rFonts w:ascii="Calibri" w:hAnsi="Calibri" w:cs="Calibri"/>
              </w:rPr>
            </w:pPr>
            <w:r>
              <w:rPr>
                <w:rFonts w:ascii="Calibri" w:hAnsi="Calibri" w:cs="Calibri"/>
              </w:rPr>
              <w:t>10%</w:t>
            </w:r>
          </w:p>
        </w:tc>
      </w:tr>
      <w:tr w:rsidR="00C60C0B" w:rsidRPr="00B44CF9" w14:paraId="2E39AE48" w14:textId="77777777" w:rsidTr="00661DF9">
        <w:tc>
          <w:tcPr>
            <w:tcW w:w="5400" w:type="dxa"/>
          </w:tcPr>
          <w:p w14:paraId="0F0BFA08" w14:textId="77777777" w:rsidR="00C60C0B" w:rsidRPr="00420E5B" w:rsidRDefault="00C60C0B" w:rsidP="00661DF9">
            <w:pPr>
              <w:pStyle w:val="ProductList-OfferingBody"/>
              <w:jc w:val="center"/>
              <w:rPr>
                <w:rFonts w:ascii="Calibri" w:hAnsi="Calibri" w:cs="Calibri"/>
              </w:rPr>
            </w:pPr>
            <w:r>
              <w:rPr>
                <w:rFonts w:ascii="Calibri" w:hAnsi="Calibri" w:cs="Calibri"/>
              </w:rPr>
              <w:t>&lt; 99%</w:t>
            </w:r>
          </w:p>
        </w:tc>
        <w:tc>
          <w:tcPr>
            <w:tcW w:w="5400" w:type="dxa"/>
          </w:tcPr>
          <w:p w14:paraId="5983BEC0" w14:textId="77777777" w:rsidR="00C60C0B" w:rsidRPr="00420E5B" w:rsidRDefault="00C60C0B" w:rsidP="00661DF9">
            <w:pPr>
              <w:pStyle w:val="ProductList-OfferingBody"/>
              <w:jc w:val="center"/>
              <w:rPr>
                <w:rFonts w:ascii="Calibri" w:hAnsi="Calibri" w:cs="Calibri"/>
              </w:rPr>
            </w:pPr>
            <w:r>
              <w:rPr>
                <w:rFonts w:ascii="Calibri" w:hAnsi="Calibri" w:cs="Calibri"/>
              </w:rPr>
              <w:t>25%</w:t>
            </w:r>
          </w:p>
        </w:tc>
      </w:tr>
    </w:tbl>
    <w:p w14:paraId="6F74610E" w14:textId="77777777" w:rsidR="00C60C0B" w:rsidRPr="00EF7CF9" w:rsidRDefault="00C60C0B" w:rsidP="00C60C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80C3B83" w14:textId="423BDD66" w:rsidR="004005AF" w:rsidRPr="00EF7CF9" w:rsidRDefault="004005AF" w:rsidP="00F01ED6">
      <w:pPr>
        <w:pStyle w:val="ProductList-Offering2Heading"/>
        <w:tabs>
          <w:tab w:val="clear" w:pos="360"/>
          <w:tab w:val="clear" w:pos="720"/>
          <w:tab w:val="clear" w:pos="1080"/>
        </w:tabs>
        <w:outlineLvl w:val="2"/>
      </w:pPr>
      <w:bookmarkStart w:id="139" w:name="_Toc214456769"/>
      <w:r>
        <w:t>Application Insights</w:t>
      </w:r>
      <w:bookmarkEnd w:id="133"/>
      <w:bookmarkEnd w:id="134"/>
      <w:bookmarkEnd w:id="135"/>
      <w:bookmarkEnd w:id="139"/>
    </w:p>
    <w:bookmarkEnd w:id="136"/>
    <w:p w14:paraId="0854076E" w14:textId="77777777" w:rsidR="004005AF" w:rsidRPr="00EF7CF9" w:rsidRDefault="004005AF" w:rsidP="00F01ED6">
      <w:pPr>
        <w:pStyle w:val="ProductList-Body"/>
      </w:pPr>
      <w:r>
        <w:rPr>
          <w:b/>
          <w:color w:val="00188F"/>
        </w:rPr>
        <w:t>Definições Adicionais</w:t>
      </w:r>
      <w:r w:rsidRPr="00473DD3">
        <w:rPr>
          <w:b/>
          <w:color w:val="00188F"/>
        </w:rPr>
        <w:t>:</w:t>
      </w:r>
    </w:p>
    <w:p w14:paraId="1AADBDBC" w14:textId="7A805C5D" w:rsidR="004005AF" w:rsidRPr="00EF7CF9" w:rsidRDefault="00380305" w:rsidP="00F01ED6">
      <w:pPr>
        <w:spacing w:after="0" w:line="240" w:lineRule="auto"/>
        <w:rPr>
          <w:sz w:val="18"/>
          <w:szCs w:val="18"/>
        </w:rPr>
      </w:pPr>
      <w:r>
        <w:rPr>
          <w:sz w:val="18"/>
        </w:rPr>
        <w:t>“</w:t>
      </w:r>
      <w:r w:rsidR="004005AF">
        <w:rPr>
          <w:b/>
          <w:color w:val="00188F"/>
          <w:sz w:val="18"/>
        </w:rPr>
        <w:t>Recurso do Application Insights</w:t>
      </w:r>
      <w:r>
        <w:rPr>
          <w:sz w:val="18"/>
        </w:rPr>
        <w:t>”</w:t>
      </w:r>
      <w:r w:rsidR="004005AF">
        <w:rPr>
          <w:sz w:val="18"/>
        </w:rPr>
        <w:t xml:space="preserve"> </w:t>
      </w:r>
      <w:r w:rsidR="004005AF">
        <w:rPr>
          <w:sz w:val="18"/>
          <w:szCs w:val="18"/>
        </w:rPr>
        <w:t>designa o contentor no Application Insights que recolhe, processa e armazena os dados para uma chave de instrumentação única.</w:t>
      </w:r>
    </w:p>
    <w:p w14:paraId="1654A6AC" w14:textId="67030E0A" w:rsidR="004005AF" w:rsidRPr="00EF7CF9" w:rsidRDefault="00380305" w:rsidP="00F01ED6">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designa o número total de minutos durante os quais um determinado Recurso do Application Insights esteve implementado pelo Cliente numa subscrição do Microsoft Azure durante um Período Aplicável.</w:t>
      </w:r>
    </w:p>
    <w:p w14:paraId="488AD200" w14:textId="770BDEA3" w:rsidR="004005AF" w:rsidRPr="00EF7CF9" w:rsidRDefault="00380305" w:rsidP="00F01ED6">
      <w:pPr>
        <w:spacing w:after="0" w:line="240" w:lineRule="auto"/>
        <w:rPr>
          <w:sz w:val="18"/>
          <w:szCs w:val="18"/>
        </w:rPr>
      </w:pPr>
      <w:r>
        <w:rPr>
          <w:sz w:val="18"/>
        </w:rPr>
        <w:t>“</w:t>
      </w:r>
      <w:r w:rsidR="004005AF">
        <w:rPr>
          <w:b/>
          <w:color w:val="00188F"/>
          <w:sz w:val="18"/>
        </w:rPr>
        <w:t>Período de Indisponibilidade</w:t>
      </w:r>
      <w:r>
        <w:rPr>
          <w:sz w:val="18"/>
        </w:rPr>
        <w:t>”</w:t>
      </w:r>
      <w:r w:rsidR="004005AF">
        <w:rPr>
          <w:sz w:val="18"/>
          <w:szCs w:val="18"/>
        </w:rPr>
        <w:t xml:space="preserve"> designa o número total de minutos durante o Máximo de Minutos Disponíveis durante os quais os dados num Recurso do Application Insights estão indisponíveis. Um minuto será considerado indisponível para um determinado Recurso do Application Insights se durante esse minuto não se registar qualquer operação de HTTP que devolva um Código de Sucesso.</w:t>
      </w:r>
    </w:p>
    <w:p w14:paraId="77D1985E" w14:textId="417834CB" w:rsidR="004005AF" w:rsidRDefault="004005AF" w:rsidP="00F01ED6">
      <w:pPr>
        <w:pStyle w:val="ProductList-Body"/>
      </w:pPr>
      <w:r>
        <w:rPr>
          <w:b/>
          <w:color w:val="00188F"/>
        </w:rPr>
        <w:t>Percentagem de Disponibilidade para Consulta</w:t>
      </w:r>
      <w:r w:rsidRPr="00473DD3">
        <w:rPr>
          <w:b/>
          <w:color w:val="00188F"/>
        </w:rPr>
        <w:t>:</w:t>
      </w:r>
      <w:r>
        <w:t xml:space="preserve"> de um determinado Recurso do Application Insights num Período Aplicável é calculada como o</w:t>
      </w:r>
      <w:r w:rsidR="00DE302F">
        <w:t> </w:t>
      </w:r>
      <w:r>
        <w:t>Máximo de Minutos Disponíveis menos o Período de Indisponibilidade, a dividir pelo Máximo de Minutos Disponíveis a multiplicar por 100.</w:t>
      </w:r>
    </w:p>
    <w:p w14:paraId="3ECF4E93" w14:textId="2F285CC5" w:rsidR="004005AF" w:rsidRDefault="004005AF" w:rsidP="00F01ED6">
      <w:pPr>
        <w:pStyle w:val="ProductList-Body"/>
      </w:pPr>
      <w:r>
        <w:t>A Percentagem de Disponibilidade para Consulta é calculada utilizando a seguinte fórmula:</w:t>
      </w:r>
    </w:p>
    <w:p w14:paraId="32064421" w14:textId="77777777" w:rsidR="004005AF" w:rsidRPr="00EF7CF9" w:rsidRDefault="004005AF" w:rsidP="00F01ED6">
      <w:pPr>
        <w:pStyle w:val="ProductList-Body"/>
      </w:pPr>
    </w:p>
    <w:p w14:paraId="357080F4" w14:textId="35DE21BF"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80FD7C0" w14:textId="77777777" w:rsidR="004005AF" w:rsidRPr="00EF7CF9" w:rsidRDefault="004005AF" w:rsidP="00F01ED6">
      <w:pPr>
        <w:pStyle w:val="ProductList-Body"/>
      </w:pPr>
      <w:r>
        <w:rPr>
          <w:b/>
          <w:color w:val="00188F"/>
        </w:rPr>
        <w:t>Os seguintes Níveis de Serviço e Créditos de Serviço são aplicáveis à utilização que o Cliente faz do Serviço do Application Insights – SLA de Disponibilidade para Consulta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F01ED6">
            <w:pPr>
              <w:pStyle w:val="ProductList-OfferingBody"/>
              <w:jc w:val="center"/>
              <w:rPr>
                <w:color w:val="FFFFFF" w:themeColor="background1"/>
              </w:rPr>
            </w:pPr>
            <w:r>
              <w:rPr>
                <w:color w:val="FFFFFF" w:themeColor="background1"/>
              </w:rPr>
              <w:t>Percentagem de Disponibilidade para Consulta</w:t>
            </w:r>
          </w:p>
        </w:tc>
        <w:tc>
          <w:tcPr>
            <w:tcW w:w="5400" w:type="dxa"/>
            <w:shd w:val="clear" w:color="auto" w:fill="0072C6"/>
          </w:tcPr>
          <w:p w14:paraId="42720DC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277097">
        <w:trPr>
          <w:trHeight w:val="242"/>
        </w:trPr>
        <w:tc>
          <w:tcPr>
            <w:tcW w:w="5400" w:type="dxa"/>
          </w:tcPr>
          <w:p w14:paraId="6877E7DD" w14:textId="77777777" w:rsidR="004005AF" w:rsidRPr="00EF7CF9" w:rsidRDefault="004005AF" w:rsidP="00F01ED6">
            <w:pPr>
              <w:pStyle w:val="ProductList-OfferingBody"/>
              <w:jc w:val="center"/>
            </w:pPr>
            <w:r>
              <w:t>&lt; 99,9%</w:t>
            </w:r>
          </w:p>
        </w:tc>
        <w:tc>
          <w:tcPr>
            <w:tcW w:w="5400" w:type="dxa"/>
          </w:tcPr>
          <w:p w14:paraId="5B070644" w14:textId="77777777" w:rsidR="004005AF" w:rsidRPr="00EF7CF9" w:rsidRDefault="004005AF" w:rsidP="00F01ED6">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F01ED6">
            <w:pPr>
              <w:pStyle w:val="ProductList-OfferingBody"/>
              <w:jc w:val="center"/>
            </w:pPr>
            <w:r>
              <w:t>&lt; 99%</w:t>
            </w:r>
          </w:p>
        </w:tc>
        <w:tc>
          <w:tcPr>
            <w:tcW w:w="5400" w:type="dxa"/>
          </w:tcPr>
          <w:p w14:paraId="3CEF9A53" w14:textId="77777777" w:rsidR="004005AF" w:rsidRPr="00EF7CF9" w:rsidRDefault="004005AF" w:rsidP="00F01ED6">
            <w:pPr>
              <w:pStyle w:val="ProductList-OfferingBody"/>
              <w:jc w:val="center"/>
            </w:pPr>
            <w:r>
              <w:t>25%</w:t>
            </w:r>
          </w:p>
        </w:tc>
      </w:tr>
    </w:tbl>
    <w:bookmarkStart w:id="140" w:name="_Toc52348922"/>
    <w:p w14:paraId="40E5CAA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8257E8" w14:textId="77777777" w:rsidR="002B6211" w:rsidRPr="002B6211" w:rsidRDefault="002B6211" w:rsidP="00485BEC">
      <w:pPr>
        <w:pStyle w:val="ProductList-Offering2Heading"/>
        <w:keepNext/>
        <w:tabs>
          <w:tab w:val="clear" w:pos="360"/>
          <w:tab w:val="clear" w:pos="720"/>
          <w:tab w:val="clear" w:pos="1080"/>
        </w:tabs>
        <w:outlineLvl w:val="2"/>
      </w:pPr>
      <w:bookmarkStart w:id="141" w:name="_Toc214456770"/>
      <w:r>
        <w:t>Azure Arc</w:t>
      </w:r>
      <w:bookmarkEnd w:id="141"/>
    </w:p>
    <w:p w14:paraId="7C733692" w14:textId="77777777" w:rsidR="002B6211" w:rsidRPr="002B6211" w:rsidRDefault="002B6211" w:rsidP="00F01ED6">
      <w:pPr>
        <w:pStyle w:val="ProductList-Body"/>
        <w:rPr>
          <w:b/>
          <w:color w:val="00188F"/>
        </w:rPr>
      </w:pPr>
      <w:r>
        <w:rPr>
          <w:b/>
          <w:color w:val="00188F"/>
        </w:rPr>
        <w:t>Definições Adicionais</w:t>
      </w:r>
    </w:p>
    <w:p w14:paraId="6B017054" w14:textId="06E5730E" w:rsidR="002B6211" w:rsidRPr="000C03EC" w:rsidRDefault="00380305" w:rsidP="00F01ED6">
      <w:pPr>
        <w:pStyle w:val="ProductList-Body"/>
        <w:rPr>
          <w:spacing w:val="-3"/>
        </w:rPr>
      </w:pPr>
      <w:r>
        <w:rPr>
          <w:spacing w:val="-3"/>
        </w:rPr>
        <w:t>“</w:t>
      </w:r>
      <w:r w:rsidR="002B6211" w:rsidRPr="000C03EC">
        <w:rPr>
          <w:b/>
          <w:bCs/>
          <w:color w:val="00188F"/>
          <w:spacing w:val="-3"/>
        </w:rPr>
        <w:t>Máximo de Minutos Disponíveis</w:t>
      </w:r>
      <w:r>
        <w:rPr>
          <w:spacing w:val="-3"/>
        </w:rPr>
        <w:t>”</w:t>
      </w:r>
      <w:r w:rsidR="002B6211" w:rsidRPr="000C03EC">
        <w:rPr>
          <w:spacing w:val="-3"/>
        </w:rPr>
        <w:t xml:space="preserve"> designa o total de minutos acumulados num Período Aplicável no qual pelo menos um recurso do Azure de configuração de atribuição de Kubernetes foi implementado num recurso de Kubernetes ativados para o Azure Arc numa subscrição do Microsoft Azure.</w:t>
      </w:r>
    </w:p>
    <w:p w14:paraId="6177EA62" w14:textId="62A982A1" w:rsidR="002B6211" w:rsidRDefault="00380305" w:rsidP="00F01ED6">
      <w:pPr>
        <w:pStyle w:val="ProductList-Body"/>
      </w:pPr>
      <w:r>
        <w:t>“</w:t>
      </w:r>
      <w:r w:rsidR="002B6211">
        <w:rPr>
          <w:b/>
          <w:bCs/>
          <w:color w:val="00188F"/>
        </w:rPr>
        <w:t>Período de Indisponibilidade</w:t>
      </w:r>
      <w:r>
        <w:t>”</w:t>
      </w:r>
      <w:r w:rsidR="002B6211">
        <w:t xml:space="preserve"> é o total acumulado de Máximo de Minutos Disponíveis num Período Aplicável no qual pelo menos um recurso do Azure de Configuração de Kubernetes foi implementado num recurso de Kubernetes ativado para o Azure Arc, mas as operações da API REST para o recurso do Azure de configuração de Kubernetes estão indisponíveis.</w:t>
      </w:r>
    </w:p>
    <w:p w14:paraId="34BE21C7" w14:textId="07B13173" w:rsidR="002B6211" w:rsidRDefault="00380305" w:rsidP="00F01ED6">
      <w:pPr>
        <w:pStyle w:val="ProductList-Body"/>
      </w:pPr>
      <w:r>
        <w:t>“</w:t>
      </w:r>
      <w:r w:rsidR="002B6211">
        <w:rPr>
          <w:b/>
          <w:bCs/>
          <w:color w:val="00188F"/>
        </w:rPr>
        <w:t>Percentagem de Período de Disponibilidade</w:t>
      </w:r>
      <w:r>
        <w:t>”</w:t>
      </w:r>
      <w:r w:rsidR="002B6211">
        <w:t xml:space="preserve"> A Percentagem de Período de Disponibilidade é calculada utilizando a seguinte fórmula:</w:t>
      </w:r>
    </w:p>
    <w:p w14:paraId="1DD65488" w14:textId="77777777" w:rsidR="002B6211" w:rsidRPr="00EF7CF9" w:rsidRDefault="002B6211" w:rsidP="00F01ED6">
      <w:pPr>
        <w:pStyle w:val="ProductList-Body"/>
      </w:pPr>
    </w:p>
    <w:p w14:paraId="4275B73A" w14:textId="18FEFBB6" w:rsidR="002B6211"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C718AC" w14:textId="77777777" w:rsidR="002B6211" w:rsidRPr="002B6211" w:rsidRDefault="002B6211" w:rsidP="00F01ED6">
      <w:pPr>
        <w:pStyle w:val="ProductList-Body"/>
        <w:keepNext/>
        <w:rPr>
          <w:b/>
          <w:bCs/>
          <w:color w:val="00188F"/>
        </w:rPr>
      </w:pPr>
      <w:r>
        <w:rPr>
          <w:b/>
          <w:bCs/>
          <w:color w:val="00188F"/>
        </w:rPr>
        <w:t>Os seguintes Níveis de Serviço e Créditos de Serviço são aplicáveis à utilização que o Cliente faz do recurso do Azure de configuração de Kubernetes para além dos Kubernetes ativados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C37A494" w14:textId="77777777" w:rsidR="002B6211" w:rsidRPr="00EF7CF9" w:rsidRDefault="002B6211" w:rsidP="00F01ED6">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277097">
        <w:trPr>
          <w:trHeight w:val="242"/>
        </w:trPr>
        <w:tc>
          <w:tcPr>
            <w:tcW w:w="5400" w:type="dxa"/>
          </w:tcPr>
          <w:p w14:paraId="27039D80" w14:textId="77777777" w:rsidR="002B6211" w:rsidRPr="00EF7CF9" w:rsidRDefault="002B6211" w:rsidP="00F01ED6">
            <w:pPr>
              <w:pStyle w:val="ProductList-OfferingBody"/>
              <w:jc w:val="center"/>
            </w:pPr>
            <w:r>
              <w:t>&lt; 99,9%</w:t>
            </w:r>
          </w:p>
        </w:tc>
        <w:tc>
          <w:tcPr>
            <w:tcW w:w="5400" w:type="dxa"/>
          </w:tcPr>
          <w:p w14:paraId="50BDEC79" w14:textId="77777777" w:rsidR="002B6211" w:rsidRPr="00EF7CF9" w:rsidRDefault="002B6211" w:rsidP="00F01ED6">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F01ED6">
            <w:pPr>
              <w:pStyle w:val="ProductList-OfferingBody"/>
              <w:jc w:val="center"/>
            </w:pPr>
            <w:r>
              <w:t>&lt; 99%</w:t>
            </w:r>
          </w:p>
        </w:tc>
        <w:tc>
          <w:tcPr>
            <w:tcW w:w="5400" w:type="dxa"/>
          </w:tcPr>
          <w:p w14:paraId="6F7A6689" w14:textId="77777777" w:rsidR="002B6211" w:rsidRPr="00EF7CF9" w:rsidRDefault="002B6211" w:rsidP="00F01ED6">
            <w:pPr>
              <w:pStyle w:val="ProductList-OfferingBody"/>
              <w:jc w:val="center"/>
            </w:pPr>
            <w:r>
              <w:t>25%</w:t>
            </w:r>
          </w:p>
        </w:tc>
      </w:tr>
    </w:tbl>
    <w:p w14:paraId="6DD2107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2F3A8B4" w14:textId="062E33AB" w:rsidR="004005AF" w:rsidRPr="00EF7CF9" w:rsidRDefault="004005AF" w:rsidP="00F01ED6">
      <w:pPr>
        <w:pStyle w:val="ProductList-Offering2Heading"/>
        <w:tabs>
          <w:tab w:val="clear" w:pos="360"/>
          <w:tab w:val="clear" w:pos="720"/>
          <w:tab w:val="clear" w:pos="1080"/>
        </w:tabs>
        <w:outlineLvl w:val="2"/>
      </w:pPr>
      <w:bookmarkStart w:id="142" w:name="_Toc214456771"/>
      <w:r>
        <w:lastRenderedPageBreak/>
        <w:t>Automatização</w:t>
      </w:r>
      <w:bookmarkEnd w:id="137"/>
      <w:bookmarkEnd w:id="140"/>
      <w:bookmarkEnd w:id="142"/>
    </w:p>
    <w:p w14:paraId="289BCC2C" w14:textId="77777777" w:rsidR="004005AF" w:rsidRDefault="004005AF" w:rsidP="00F01ED6">
      <w:pPr>
        <w:pStyle w:val="ProductList-Body"/>
        <w:rPr>
          <w:b/>
          <w:color w:val="00188F"/>
        </w:rPr>
      </w:pPr>
      <w:r>
        <w:rPr>
          <w:b/>
          <w:color w:val="00188F"/>
        </w:rPr>
        <w:t>Serviço de Automatização – Configuração de Estado Pretendido (DSC)</w:t>
      </w:r>
    </w:p>
    <w:p w14:paraId="7BF47219" w14:textId="77777777" w:rsidR="004005AF" w:rsidRPr="00EF7CF9" w:rsidRDefault="004005AF" w:rsidP="00F01ED6">
      <w:pPr>
        <w:pStyle w:val="ProductList-Body"/>
      </w:pPr>
      <w:r>
        <w:rPr>
          <w:b/>
          <w:color w:val="00188F"/>
        </w:rPr>
        <w:t>Definições Adicionais</w:t>
      </w:r>
      <w:r w:rsidRPr="00473DD3">
        <w:rPr>
          <w:b/>
          <w:color w:val="00188F"/>
        </w:rPr>
        <w:t>:</w:t>
      </w:r>
    </w:p>
    <w:p w14:paraId="6BCA192C" w14:textId="2A931139" w:rsidR="004005AF" w:rsidRPr="00EF7CF9" w:rsidRDefault="00380305" w:rsidP="00F01ED6">
      <w:pPr>
        <w:pStyle w:val="ProductList-Body"/>
      </w:pPr>
      <w:r>
        <w:t>“</w:t>
      </w:r>
      <w:r w:rsidR="004005AF">
        <w:rPr>
          <w:b/>
          <w:color w:val="00188F"/>
        </w:rPr>
        <w:t>Minutos de Implementação</w:t>
      </w:r>
      <w:r>
        <w:t>”</w:t>
      </w:r>
      <w:r w:rsidR="004005AF">
        <w:t xml:space="preserve"> designa o número total de minutos durante os quais uma determinada conta de Automatização foi implementada no Microsoft Azure durante um Período Aplicável.</w:t>
      </w:r>
    </w:p>
    <w:p w14:paraId="4334A2FF" w14:textId="6027D650" w:rsidR="004005AF" w:rsidRPr="00EF7CF9" w:rsidRDefault="00380305" w:rsidP="00F01ED6">
      <w:pPr>
        <w:pStyle w:val="ProductList-Body"/>
        <w:spacing w:after="40"/>
      </w:pPr>
      <w:r>
        <w:t>“</w:t>
      </w:r>
      <w:r w:rsidR="004005AF">
        <w:rPr>
          <w:b/>
          <w:color w:val="00188F"/>
        </w:rPr>
        <w:t>Serviço de Agente DSC</w:t>
      </w:r>
      <w:r>
        <w:t>”</w:t>
      </w:r>
      <w:r w:rsidR="004005AF">
        <w:t xml:space="preserve"> é </w:t>
      </w:r>
      <w:r w:rsidR="004005AF">
        <w:rPr>
          <w:shd w:val="clear" w:color="auto" w:fill="FFFFFF"/>
        </w:rPr>
        <w:t>o componente do Serviço de Automatização responsável pela receção e pela resposta aos pedidos de Pull, registo e</w:t>
      </w:r>
      <w:r w:rsidR="00250B1B">
        <w:rPr>
          <w:shd w:val="clear" w:color="auto" w:fill="FFFFFF"/>
        </w:rPr>
        <w:t> </w:t>
      </w:r>
      <w:r w:rsidR="004005AF">
        <w:rPr>
          <w:shd w:val="clear" w:color="auto" w:fill="FFFFFF"/>
        </w:rPr>
        <w:t>relatórios dos nós DSC</w:t>
      </w:r>
      <w:r w:rsidR="004005AF">
        <w:t>.</w:t>
      </w:r>
    </w:p>
    <w:p w14:paraId="555DEDC6" w14:textId="4EA26630"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contas de Automatização implementadas numa determinada subscrição do Microsoft Azure durante um Período Aplicável.</w:t>
      </w:r>
    </w:p>
    <w:p w14:paraId="79CDEBD9" w14:textId="77777777" w:rsidR="004005AF" w:rsidRPr="000C03EC" w:rsidRDefault="004005AF" w:rsidP="00F01ED6">
      <w:pPr>
        <w:pStyle w:val="ProductList-Body"/>
        <w:rPr>
          <w:spacing w:val="-2"/>
        </w:rPr>
      </w:pPr>
      <w:r w:rsidRPr="000C03EC">
        <w:rPr>
          <w:b/>
          <w:color w:val="00188F"/>
          <w:spacing w:val="-2"/>
        </w:rPr>
        <w:t>Período de Indisponibilidade</w:t>
      </w:r>
      <w:r w:rsidRPr="00473DD3">
        <w:rPr>
          <w:b/>
          <w:color w:val="00188F"/>
          <w:spacing w:val="-2"/>
        </w:rPr>
        <w:t>:</w:t>
      </w:r>
      <w:r w:rsidRPr="000C03EC">
        <w:rPr>
          <w:spacing w:val="-2"/>
        </w:rPr>
        <w:t xml:space="preserve"> O total acumulado de Minutos de Implementação, em todas as contas de Automatização implementadas numa determinada subscrição do Microsoft Azure, durante o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3B3CD689" w14:textId="17068EA4"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7FF1FE9" w14:textId="77777777" w:rsidR="004005AF" w:rsidRPr="00EF7CF9" w:rsidRDefault="004005AF" w:rsidP="00F01ED6">
      <w:pPr>
        <w:pStyle w:val="ProductList-Body"/>
      </w:pPr>
    </w:p>
    <w:p w14:paraId="0177F4D5" w14:textId="30D7E292"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1F831EB"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E563FF">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584A12" w14:textId="77777777" w:rsidR="004005AF" w:rsidRPr="00EF7CF9" w:rsidRDefault="004005AF" w:rsidP="00E563FF">
            <w:pPr>
              <w:pStyle w:val="ProductList-OfferingBody"/>
              <w:jc w:val="center"/>
              <w:rPr>
                <w:color w:val="FFFFFF" w:themeColor="background1"/>
              </w:rPr>
            </w:pPr>
            <w:r>
              <w:rPr>
                <w:color w:val="FFFFFF" w:themeColor="background1"/>
              </w:rPr>
              <w:t>Crédito de Serviço</w:t>
            </w:r>
          </w:p>
        </w:tc>
      </w:tr>
      <w:tr w:rsidR="004005AF" w:rsidRPr="00B44CF9" w14:paraId="179D4B6C" w14:textId="77777777" w:rsidTr="00277097">
        <w:tc>
          <w:tcPr>
            <w:tcW w:w="5400" w:type="dxa"/>
          </w:tcPr>
          <w:p w14:paraId="5C269242" w14:textId="77777777" w:rsidR="004005AF" w:rsidRPr="00EF7CF9" w:rsidRDefault="004005AF" w:rsidP="00F01ED6">
            <w:pPr>
              <w:pStyle w:val="ProductList-OfferingBody"/>
              <w:jc w:val="center"/>
            </w:pPr>
            <w:r>
              <w:t>&lt; 99,9%</w:t>
            </w:r>
          </w:p>
        </w:tc>
        <w:tc>
          <w:tcPr>
            <w:tcW w:w="5400" w:type="dxa"/>
          </w:tcPr>
          <w:p w14:paraId="4EC5DC32" w14:textId="77777777" w:rsidR="004005AF" w:rsidRPr="00EF7CF9" w:rsidRDefault="004005AF" w:rsidP="00F01ED6">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F01ED6">
            <w:pPr>
              <w:pStyle w:val="ProductList-OfferingBody"/>
              <w:jc w:val="center"/>
            </w:pPr>
            <w:r>
              <w:t>&lt; 99%</w:t>
            </w:r>
          </w:p>
        </w:tc>
        <w:tc>
          <w:tcPr>
            <w:tcW w:w="5400" w:type="dxa"/>
          </w:tcPr>
          <w:p w14:paraId="627DA1D5" w14:textId="77777777" w:rsidR="004005AF" w:rsidRPr="00EF7CF9" w:rsidRDefault="004005AF" w:rsidP="00F01ED6">
            <w:pPr>
              <w:pStyle w:val="ProductList-OfferingBody"/>
              <w:jc w:val="center"/>
            </w:pPr>
            <w:r>
              <w:t>25%</w:t>
            </w:r>
          </w:p>
        </w:tc>
      </w:tr>
    </w:tbl>
    <w:p w14:paraId="56E8840B" w14:textId="3DC9DA84" w:rsidR="004005AF" w:rsidRDefault="004005AF" w:rsidP="00F01ED6">
      <w:pPr>
        <w:pStyle w:val="ProductList-Body"/>
        <w:tabs>
          <w:tab w:val="clear" w:pos="360"/>
          <w:tab w:val="clear" w:pos="720"/>
          <w:tab w:val="clear" w:pos="1080"/>
        </w:tabs>
        <w:spacing w:before="120" w:after="240"/>
        <w:rPr>
          <w:color w:val="000000" w:themeColor="text1"/>
        </w:rPr>
      </w:pPr>
      <w:bookmarkStart w:id="143" w:name="_Toc457821539"/>
      <w:r>
        <w:rPr>
          <w:b/>
          <w:bCs/>
          <w:color w:val="00188F"/>
        </w:rPr>
        <w:t>Termos Adicionais</w:t>
      </w:r>
      <w:r w:rsidRPr="00473DD3">
        <w:rPr>
          <w:b/>
          <w:bCs/>
          <w:color w:val="00188F"/>
        </w:rPr>
        <w:t>:</w:t>
      </w:r>
      <w:r>
        <w:rPr>
          <w:color w:val="000000" w:themeColor="text1"/>
        </w:rPr>
        <w:t xml:space="preserve"> Os Créditos de Serviço são aplicáveis apenas às taxas atribuíveis à utilização da funcionalidade DSC por parte do Cliente no Serviço de Automatização.</w:t>
      </w:r>
    </w:p>
    <w:p w14:paraId="311E85AB" w14:textId="77777777" w:rsidR="004005AF" w:rsidRPr="00ED4527" w:rsidRDefault="004005AF" w:rsidP="00F01ED6">
      <w:pPr>
        <w:pStyle w:val="ProductList-Body"/>
        <w:tabs>
          <w:tab w:val="clear" w:pos="360"/>
          <w:tab w:val="clear" w:pos="720"/>
          <w:tab w:val="clear" w:pos="1080"/>
        </w:tabs>
        <w:spacing w:before="240"/>
        <w:rPr>
          <w:b/>
          <w:bCs/>
          <w:color w:val="00188F"/>
        </w:rPr>
      </w:pPr>
      <w:r>
        <w:rPr>
          <w:b/>
          <w:bCs/>
          <w:color w:val="00188F"/>
        </w:rPr>
        <w:t>Serviço de Automatização – Automatização de Processos</w:t>
      </w:r>
    </w:p>
    <w:bookmarkEnd w:id="143"/>
    <w:p w14:paraId="026B0EC1" w14:textId="77777777" w:rsidR="004005AF" w:rsidRPr="00EF7CF9" w:rsidRDefault="004005AF" w:rsidP="00F01ED6">
      <w:pPr>
        <w:pStyle w:val="ProductList-Body"/>
      </w:pPr>
      <w:r>
        <w:rPr>
          <w:b/>
          <w:color w:val="00188F"/>
        </w:rPr>
        <w:t>Definições Adicionais</w:t>
      </w:r>
      <w:r w:rsidRPr="00473DD3">
        <w:rPr>
          <w:b/>
          <w:color w:val="00188F"/>
        </w:rPr>
        <w:t>:</w:t>
      </w:r>
    </w:p>
    <w:p w14:paraId="6021A567" w14:textId="54827875" w:rsidR="004005AF" w:rsidRPr="00EF7CF9" w:rsidRDefault="00380305" w:rsidP="00F01ED6">
      <w:pPr>
        <w:pStyle w:val="ProductList-Body"/>
        <w:spacing w:after="40"/>
      </w:pPr>
      <w:r>
        <w:t>“</w:t>
      </w:r>
      <w:r w:rsidR="004005AF">
        <w:rPr>
          <w:b/>
          <w:color w:val="00188F"/>
        </w:rPr>
        <w:t>Tarefas Atrasadas</w:t>
      </w:r>
      <w:r>
        <w:t>”</w:t>
      </w:r>
      <w:r w:rsidR="004005AF">
        <w:t xml:space="preserve"> designa o número total de Tarefas, para uma determinada subscrição do Microsoft Azure, que falham o início no prazo de trinta (30) minutos após as respetivas Horas de Início Planeadas.</w:t>
      </w:r>
    </w:p>
    <w:p w14:paraId="05D34F78" w14:textId="702DBA0B" w:rsidR="004005AF" w:rsidRPr="00EF7CF9" w:rsidRDefault="00380305" w:rsidP="00F01ED6">
      <w:pPr>
        <w:pStyle w:val="ProductList-Body"/>
        <w:spacing w:after="40"/>
      </w:pPr>
      <w:r>
        <w:t>“</w:t>
      </w:r>
      <w:r w:rsidR="004005AF">
        <w:rPr>
          <w:b/>
          <w:color w:val="00188F"/>
        </w:rPr>
        <w:t>Tarefa</w:t>
      </w:r>
      <w:r>
        <w:t>”</w:t>
      </w:r>
      <w:r w:rsidR="004005AF">
        <w:t xml:space="preserve"> designa a execução de um Runbook.</w:t>
      </w:r>
    </w:p>
    <w:p w14:paraId="169C5A0E" w14:textId="005C58ED" w:rsidR="004005AF" w:rsidRPr="00EF7CF9" w:rsidRDefault="00380305" w:rsidP="00F01ED6">
      <w:pPr>
        <w:pStyle w:val="ProductList-Body"/>
        <w:spacing w:after="40"/>
      </w:pPr>
      <w:r>
        <w:t>“</w:t>
      </w:r>
      <w:r w:rsidR="004005AF">
        <w:rPr>
          <w:b/>
          <w:color w:val="00188F"/>
        </w:rPr>
        <w:t>Hora de Início Planeada</w:t>
      </w:r>
      <w:r>
        <w:t>”</w:t>
      </w:r>
      <w:r w:rsidR="004005AF">
        <w:t xml:space="preserve"> é a hora a que uma Tarefa está agendada para iniciar a execução.</w:t>
      </w:r>
    </w:p>
    <w:p w14:paraId="07378C0D" w14:textId="299B28DD" w:rsidR="004005AF" w:rsidRPr="00EF7CF9" w:rsidRDefault="00380305" w:rsidP="00F01ED6">
      <w:pPr>
        <w:pStyle w:val="ProductList-Body"/>
        <w:spacing w:after="40"/>
      </w:pPr>
      <w:r>
        <w:t>“</w:t>
      </w:r>
      <w:r w:rsidR="004005AF">
        <w:rPr>
          <w:b/>
          <w:color w:val="00188F"/>
        </w:rPr>
        <w:t>Runbook</w:t>
      </w:r>
      <w:r>
        <w:t>”</w:t>
      </w:r>
      <w:r w:rsidR="004005AF">
        <w:t xml:space="preserve"> designa um conjunto de ações especificadas pelo Cliente para execução no Microsoft Azure.</w:t>
      </w:r>
    </w:p>
    <w:p w14:paraId="790494B4" w14:textId="3493257B" w:rsidR="004005AF" w:rsidRPr="00EF7CF9" w:rsidRDefault="00380305" w:rsidP="00F01ED6">
      <w:pPr>
        <w:pStyle w:val="ProductList-Body"/>
      </w:pPr>
      <w:r>
        <w:t>“</w:t>
      </w:r>
      <w:r w:rsidR="004005AF">
        <w:rPr>
          <w:b/>
          <w:color w:val="00188F"/>
        </w:rPr>
        <w:t>Total de Tarefas</w:t>
      </w:r>
      <w:r>
        <w:t>”</w:t>
      </w:r>
      <w:r w:rsidR="004005AF">
        <w:t xml:space="preserve"> é o número total de Tarefas agendadas para execução durante um determinado Período Aplicável, para uma determinada subscrição do Microsoft Azure.</w:t>
      </w:r>
    </w:p>
    <w:p w14:paraId="3FC9B042" w14:textId="3927A1A1"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BA8E08E" w14:textId="487FD9EE" w:rsidR="004005AF" w:rsidRPr="00EF7CF9" w:rsidRDefault="00000000" w:rsidP="00566946">
      <w:pPr>
        <w:pStyle w:val="ListParagraph"/>
        <w:spacing w:before="120" w:after="0"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Tarefas-Tarefas Atrasadas</m:t>
              </m:r>
            </m:num>
            <m:den>
              <m:r>
                <m:rPr>
                  <m:nor/>
                </m:rPr>
                <w:rPr>
                  <w:rFonts w:ascii="Cambria Math" w:hAnsi="Cambria Math" w:cs="Tahoma"/>
                  <w:i/>
                  <w:iCs/>
                  <w:sz w:val="18"/>
                  <w:szCs w:val="18"/>
                </w:rPr>
                <m:t>Total de Tarefas</m:t>
              </m:r>
            </m:den>
          </m:f>
          <m:r>
            <w:rPr>
              <w:rFonts w:ascii="Cambria Math" w:hAnsi="Cambria Math" w:cs="Tahoma"/>
              <w:sz w:val="18"/>
              <w:szCs w:val="18"/>
            </w:rPr>
            <m:t xml:space="preserve"> x 100</m:t>
          </m:r>
        </m:oMath>
      </m:oMathPara>
    </w:p>
    <w:p w14:paraId="38BB555E"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E563FF">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7326CBF" w14:textId="77777777" w:rsidR="004005AF" w:rsidRPr="00EF7CF9" w:rsidRDefault="004005AF" w:rsidP="00E563FF">
            <w:pPr>
              <w:pStyle w:val="ProductList-OfferingBody"/>
              <w:jc w:val="center"/>
              <w:rPr>
                <w:color w:val="FFFFFF" w:themeColor="background1"/>
              </w:rPr>
            </w:pPr>
            <w:r>
              <w:rPr>
                <w:color w:val="FFFFFF" w:themeColor="background1"/>
              </w:rPr>
              <w:t>Crédito de Serviço</w:t>
            </w:r>
          </w:p>
        </w:tc>
      </w:tr>
      <w:tr w:rsidR="004005AF" w:rsidRPr="00B44CF9" w14:paraId="7542E111" w14:textId="77777777" w:rsidTr="00277097">
        <w:tc>
          <w:tcPr>
            <w:tcW w:w="5400" w:type="dxa"/>
          </w:tcPr>
          <w:p w14:paraId="452D26B7" w14:textId="77777777" w:rsidR="004005AF" w:rsidRPr="00EF7CF9" w:rsidRDefault="004005AF" w:rsidP="00F01ED6">
            <w:pPr>
              <w:pStyle w:val="ProductList-OfferingBody"/>
              <w:jc w:val="center"/>
            </w:pPr>
            <w:r>
              <w:t>&lt; 99,9%</w:t>
            </w:r>
          </w:p>
        </w:tc>
        <w:tc>
          <w:tcPr>
            <w:tcW w:w="5400" w:type="dxa"/>
          </w:tcPr>
          <w:p w14:paraId="703325ED" w14:textId="77777777" w:rsidR="004005AF" w:rsidRPr="00EF7CF9" w:rsidRDefault="004005AF" w:rsidP="00F01ED6">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F01ED6">
            <w:pPr>
              <w:pStyle w:val="ProductList-OfferingBody"/>
              <w:jc w:val="center"/>
            </w:pPr>
            <w:r>
              <w:t>&lt; 99%</w:t>
            </w:r>
          </w:p>
        </w:tc>
        <w:tc>
          <w:tcPr>
            <w:tcW w:w="5400" w:type="dxa"/>
          </w:tcPr>
          <w:p w14:paraId="0DB330CD" w14:textId="77777777" w:rsidR="004005AF" w:rsidRPr="00EF7CF9" w:rsidRDefault="004005AF" w:rsidP="00F01ED6">
            <w:pPr>
              <w:pStyle w:val="ProductList-OfferingBody"/>
              <w:jc w:val="center"/>
            </w:pPr>
            <w:r>
              <w:t>25%</w:t>
            </w:r>
          </w:p>
        </w:tc>
      </w:tr>
    </w:tbl>
    <w:p w14:paraId="48C02207" w14:textId="7B5D1B4E" w:rsidR="004005AF" w:rsidRDefault="004005AF" w:rsidP="00F01ED6">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Termos Adicionais</w:t>
      </w:r>
      <w:r w:rsidRPr="00473DD3">
        <w:rPr>
          <w:b/>
          <w:bCs/>
          <w:color w:val="00188F"/>
        </w:rPr>
        <w:t>:</w:t>
      </w:r>
      <w:r>
        <w:t xml:space="preserve"> Os Créditos de Serviço são aplicáveis apenas às taxas atribuíveis à utilização da funcionalidade Automatização de Processos por parte do Cliente no Serviço de Automatização.</w:t>
      </w:r>
    </w:p>
    <w:bookmarkStart w:id="149" w:name="_Toc52348942"/>
    <w:bookmarkStart w:id="150" w:name="_Toc52348924"/>
    <w:bookmarkEnd w:id="144"/>
    <w:p w14:paraId="15746A5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135C4F94" w14:textId="77777777" w:rsidR="00DE36E2" w:rsidRPr="00EF7CF9" w:rsidRDefault="00DE36E2" w:rsidP="00F01ED6">
      <w:pPr>
        <w:pStyle w:val="ProductList-Offering2Heading"/>
        <w:tabs>
          <w:tab w:val="clear" w:pos="360"/>
          <w:tab w:val="clear" w:pos="720"/>
          <w:tab w:val="clear" w:pos="1080"/>
        </w:tabs>
        <w:outlineLvl w:val="2"/>
      </w:pPr>
      <w:bookmarkStart w:id="151" w:name="_Toc214456772"/>
      <w:r>
        <w:t>Azure Backup</w:t>
      </w:r>
      <w:bookmarkEnd w:id="149"/>
      <w:bookmarkEnd w:id="151"/>
    </w:p>
    <w:p w14:paraId="57658A5A" w14:textId="77777777" w:rsidR="00DE36E2" w:rsidRPr="00EF7CF9" w:rsidRDefault="00DE36E2" w:rsidP="00F01ED6">
      <w:pPr>
        <w:pStyle w:val="ProductList-Body"/>
      </w:pPr>
      <w:r>
        <w:rPr>
          <w:b/>
          <w:color w:val="00188F"/>
        </w:rPr>
        <w:t>Definições Adicionais</w:t>
      </w:r>
      <w:r w:rsidRPr="00473DD3">
        <w:rPr>
          <w:b/>
          <w:color w:val="00188F"/>
        </w:rPr>
        <w:t>:</w:t>
      </w:r>
    </w:p>
    <w:p w14:paraId="6D798844" w14:textId="46132ECB" w:rsidR="00DE36E2" w:rsidRPr="00EF7CF9" w:rsidRDefault="00380305" w:rsidP="00F01ED6">
      <w:pPr>
        <w:pStyle w:val="ProductList-Body"/>
        <w:spacing w:after="40"/>
      </w:pPr>
      <w:r>
        <w:t>“</w:t>
      </w:r>
      <w:r w:rsidR="00DE36E2">
        <w:rPr>
          <w:b/>
          <w:color w:val="00188F"/>
        </w:rPr>
        <w:t>Cópia de Segurança</w:t>
      </w:r>
      <w:r>
        <w:t>”</w:t>
      </w:r>
      <w:r w:rsidR="00DE36E2">
        <w:t xml:space="preserve"> corresponde ao processo de cópia de dados do computador de um servidor registado para um Cofre de Cópia de Segurança.</w:t>
      </w:r>
    </w:p>
    <w:p w14:paraId="6A6D9648" w14:textId="28657451" w:rsidR="00DE36E2" w:rsidRPr="00EF7CF9" w:rsidRDefault="00380305" w:rsidP="00F01ED6">
      <w:pPr>
        <w:pStyle w:val="ProductList-Body"/>
        <w:spacing w:after="40"/>
      </w:pPr>
      <w:r>
        <w:t>“</w:t>
      </w:r>
      <w:r w:rsidR="00DE36E2">
        <w:rPr>
          <w:b/>
          <w:color w:val="00188F"/>
        </w:rPr>
        <w:t>Agente de Cópia de Segurança</w:t>
      </w:r>
      <w:r>
        <w:t>”</w:t>
      </w:r>
      <w:r w:rsidR="00DE36E2">
        <w:t xml:space="preserve"> designa o software instalado num servidor registado que permite que o servidor registado crie cópias de segurança ou restaure um ou mais Itens Protegidos.</w:t>
      </w:r>
    </w:p>
    <w:p w14:paraId="092B327C" w14:textId="3C780D2C" w:rsidR="00DE36E2" w:rsidRPr="00EF7CF9" w:rsidRDefault="00380305" w:rsidP="00F01ED6">
      <w:pPr>
        <w:pStyle w:val="ProductList-Body"/>
        <w:spacing w:after="40"/>
      </w:pPr>
      <w:r>
        <w:t>“</w:t>
      </w:r>
      <w:r w:rsidR="00DE36E2">
        <w:rPr>
          <w:b/>
          <w:color w:val="00188F"/>
        </w:rPr>
        <w:t>Cofre de Cópia de Segurança</w:t>
      </w:r>
      <w:r>
        <w:t>”</w:t>
      </w:r>
      <w:r w:rsidR="00DE36E2">
        <w:t xml:space="preserve"> designa um contentor onde o Cliente pode registar um ou mais Itens Protegidos para Cópia de Segurança.</w:t>
      </w:r>
    </w:p>
    <w:p w14:paraId="593C68DB" w14:textId="386A0A73" w:rsidR="00DE36E2" w:rsidRPr="00EF7CF9" w:rsidRDefault="00380305" w:rsidP="00F01ED6">
      <w:pPr>
        <w:pStyle w:val="ProductList-Body"/>
        <w:spacing w:after="40"/>
      </w:pPr>
      <w:r>
        <w:lastRenderedPageBreak/>
        <w:t>“</w:t>
      </w:r>
      <w:r w:rsidR="00DE36E2">
        <w:rPr>
          <w:b/>
          <w:color w:val="00188F"/>
        </w:rPr>
        <w:t>Falha</w:t>
      </w:r>
      <w:r>
        <w:t>”</w:t>
      </w:r>
      <w:r w:rsidR="00DE36E2">
        <w:t xml:space="preserve"> significa que o Agente de Cópia de Segurança ou o Serviço não consegue concluir na íntegra uma operação corretamente configurada de</w:t>
      </w:r>
      <w:r w:rsidR="00C07811">
        <w:t> </w:t>
      </w:r>
      <w:r w:rsidR="00DE36E2">
        <w:t>Cópia de Segurança ou Recuperação devido à indisponibilidade do Serviço de Cópia de Segurança.</w:t>
      </w:r>
    </w:p>
    <w:p w14:paraId="7D8F8108" w14:textId="7BBC99F8" w:rsidR="00DE36E2" w:rsidRPr="00EF7CF9" w:rsidRDefault="00380305" w:rsidP="00F01ED6">
      <w:pPr>
        <w:pStyle w:val="ProductList-Body"/>
        <w:spacing w:after="40"/>
      </w:pPr>
      <w:r>
        <w:t>“</w:t>
      </w:r>
      <w:r w:rsidR="00DE36E2">
        <w:rPr>
          <w:b/>
          <w:color w:val="00188F"/>
        </w:rPr>
        <w:t>Item Protegido</w:t>
      </w:r>
      <w:r>
        <w:t>”</w:t>
      </w:r>
      <w:r w:rsidR="00DE36E2">
        <w:t xml:space="preserve"> designa uma coleção de dados, tais como volume, base de dados ou máquina virtual cuja Cópia de Segurança foi agendada para</w:t>
      </w:r>
      <w:r w:rsidR="00600D36">
        <w:t> </w:t>
      </w:r>
      <w:r w:rsidR="00DE36E2">
        <w:t>o</w:t>
      </w:r>
      <w:r w:rsidR="000C03EC">
        <w:t> </w:t>
      </w:r>
      <w:r w:rsidR="00DE36E2">
        <w:t>Serviço de Cópia de Segurança para que seja enumerada como um Item Protegido no separador Itens Protegidos na secção Serviços de</w:t>
      </w:r>
      <w:r w:rsidR="00600D36">
        <w:t> </w:t>
      </w:r>
      <w:r w:rsidR="00DE36E2">
        <w:t>Recuperação do Portal de Gestão.</w:t>
      </w:r>
    </w:p>
    <w:p w14:paraId="05560A31" w14:textId="4E0A064F" w:rsidR="00DE36E2" w:rsidRPr="000C03EC" w:rsidRDefault="00380305" w:rsidP="00F01ED6">
      <w:pPr>
        <w:pStyle w:val="ProductList-Body"/>
        <w:jc w:val="both"/>
        <w:rPr>
          <w:spacing w:val="-4"/>
        </w:rPr>
      </w:pPr>
      <w:r>
        <w:rPr>
          <w:spacing w:val="-4"/>
        </w:rPr>
        <w:t>“</w:t>
      </w:r>
      <w:r w:rsidR="00DE36E2" w:rsidRPr="000C03EC">
        <w:rPr>
          <w:b/>
          <w:color w:val="00188F"/>
          <w:spacing w:val="-4"/>
        </w:rPr>
        <w:t>Recuperação</w:t>
      </w:r>
      <w:r>
        <w:rPr>
          <w:spacing w:val="-4"/>
        </w:rPr>
        <w:t>”</w:t>
      </w:r>
      <w:r w:rsidR="00DE36E2" w:rsidRPr="000C03EC">
        <w:rPr>
          <w:spacing w:val="-4"/>
        </w:rPr>
        <w:t xml:space="preserve"> ou </w:t>
      </w:r>
      <w:r>
        <w:rPr>
          <w:spacing w:val="-4"/>
        </w:rPr>
        <w:t>“</w:t>
      </w:r>
      <w:r w:rsidR="00DE36E2" w:rsidRPr="000C03EC">
        <w:rPr>
          <w:b/>
          <w:color w:val="00188F"/>
          <w:spacing w:val="-4"/>
        </w:rPr>
        <w:t>Restauro</w:t>
      </w:r>
      <w:r>
        <w:rPr>
          <w:spacing w:val="-4"/>
        </w:rPr>
        <w:t>”</w:t>
      </w:r>
      <w:r w:rsidR="00DE36E2" w:rsidRPr="000C03EC">
        <w:rPr>
          <w:spacing w:val="-4"/>
        </w:rPr>
        <w:t xml:space="preserve"> corresponde ao processo de restauro de dados do computador de um Cofre de Cópia de Segurança para um servidor registado.</w:t>
      </w:r>
    </w:p>
    <w:p w14:paraId="19753180" w14:textId="36061E88" w:rsidR="00DE36E2" w:rsidRPr="00ED4527" w:rsidRDefault="00EE6E3C" w:rsidP="00F01ED6">
      <w:pPr>
        <w:pStyle w:val="ProductList-Body"/>
        <w:spacing w:before="120"/>
        <w:rPr>
          <w:b/>
          <w:bCs/>
          <w:color w:val="00188F"/>
        </w:rPr>
      </w:pPr>
      <w:r>
        <w:rPr>
          <w:b/>
          <w:bCs/>
          <w:color w:val="00188F"/>
        </w:rPr>
        <w:t>Cálculo do Período de Disponibilidade e Níveis de Serviço para o Serviço de Cópia de Segurança</w:t>
      </w:r>
    </w:p>
    <w:p w14:paraId="3FF8AC21" w14:textId="77777777" w:rsidR="00DE36E2" w:rsidRDefault="00DE36E2" w:rsidP="00F01ED6">
      <w:pPr>
        <w:pStyle w:val="ProductList-Body"/>
        <w:rPr>
          <w:b/>
          <w:color w:val="00188F"/>
        </w:rPr>
      </w:pPr>
      <w:r>
        <w:rPr>
          <w:b/>
          <w:color w:val="00188F"/>
        </w:rPr>
        <w:t>Definições Adicionais:</w:t>
      </w:r>
    </w:p>
    <w:p w14:paraId="41F04368" w14:textId="1E6E1A0A" w:rsidR="00DE36E2" w:rsidRPr="00EF7CF9" w:rsidRDefault="00380305" w:rsidP="00F01ED6">
      <w:pPr>
        <w:pStyle w:val="ProductList-Body"/>
        <w:spacing w:after="40"/>
      </w:pPr>
      <w:r>
        <w:t>“</w:t>
      </w:r>
      <w:r w:rsidR="00DE36E2">
        <w:rPr>
          <w:b/>
          <w:color w:val="00188F"/>
        </w:rPr>
        <w:t>Minutos de Implementação</w:t>
      </w:r>
      <w:r>
        <w:t>”</w:t>
      </w:r>
      <w:r w:rsidR="00DE36E2">
        <w:t xml:space="preserve"> designa o número total de minutos no qual a Cópia de Segurança de um determinado Item Protegido foi agendada para um Cofre de Cópia de Segurança.</w:t>
      </w:r>
    </w:p>
    <w:p w14:paraId="3956C952" w14:textId="408AA7F3" w:rsidR="00DE36E2" w:rsidRPr="00EF7CF9" w:rsidRDefault="00380305" w:rsidP="00F01ED6">
      <w:pPr>
        <w:pStyle w:val="ProductList-Body"/>
        <w:spacing w:after="40"/>
      </w:pPr>
      <w:r>
        <w:t>“</w:t>
      </w:r>
      <w:r w:rsidR="00DE36E2">
        <w:rPr>
          <w:b/>
          <w:color w:val="00188F"/>
        </w:rPr>
        <w:t>Máximo de Minutos Disponíveis</w:t>
      </w:r>
      <w:r>
        <w:t>”</w:t>
      </w:r>
      <w:r w:rsidR="00DE36E2">
        <w:t xml:space="preserve"> designa a soma de todos os Minutos de Implementação em todos os Itens Protegidos numa determinada subscrição do Microsoft Azure durante um Período Aplicável.</w:t>
      </w:r>
    </w:p>
    <w:p w14:paraId="51760EC7" w14:textId="1AC33506" w:rsidR="00DE36E2" w:rsidRPr="00EF7CF9" w:rsidRDefault="00DE36E2" w:rsidP="00F01ED6">
      <w:pPr>
        <w:pStyle w:val="ProductList-Body"/>
      </w:pPr>
      <w:r>
        <w:rPr>
          <w:b/>
          <w:color w:val="00188F"/>
        </w:rPr>
        <w:t>Período de Indisponibilidade</w:t>
      </w:r>
      <w:r w:rsidRPr="00473DD3">
        <w:rPr>
          <w:b/>
          <w:color w:val="00188F"/>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w:t>
      </w:r>
      <w:r w:rsidR="0015785C">
        <w:t> </w:t>
      </w:r>
      <w:r>
        <w:t>Serviço de Cópia de Segurança é considerado indisponível para um determinado Item Protegido desde a primeira Falha na Cópia de Segurança ou</w:t>
      </w:r>
      <w:r w:rsidR="0015785C">
        <w:t> </w:t>
      </w:r>
      <w:r>
        <w:t>no Restauro do Item Protegido até à inicialização de uma Cópia de Segurança ou Restauro bem-sucedido de um Item Protegido, desde que as</w:t>
      </w:r>
      <w:r w:rsidR="0015785C">
        <w:t> </w:t>
      </w:r>
      <w:r>
        <w:t>repetições sejam tentadas continuamente com a frequência mínima de uma vez de trinta em trinta minutos.</w:t>
      </w:r>
    </w:p>
    <w:p w14:paraId="3921C6C7" w14:textId="5F46CF8F" w:rsidR="00DE36E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414B8CA" w14:textId="2BB5D390" w:rsidR="00DE36E2" w:rsidRPr="00EF7CF9" w:rsidRDefault="00000000" w:rsidP="00566946">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A0202D6" w14:textId="77777777" w:rsidR="00DE36E2" w:rsidRPr="00EF7CF9" w:rsidRDefault="00DE36E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DDAAF" w14:textId="77777777" w:rsidR="00DE36E2" w:rsidRPr="00EF7CF9" w:rsidRDefault="00DE36E2" w:rsidP="00F01ED6">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F01ED6">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F01ED6">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F01ED6">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F01ED6">
            <w:pPr>
              <w:pStyle w:val="ProductList-OfferingBody"/>
              <w:keepNext/>
              <w:jc w:val="center"/>
            </w:pPr>
            <w:r>
              <w:t>25%</w:t>
            </w:r>
          </w:p>
        </w:tc>
      </w:tr>
    </w:tbl>
    <w:p w14:paraId="01E01A7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664F23B" w14:textId="77777777" w:rsidR="00250244" w:rsidRPr="00250244" w:rsidRDefault="00250244" w:rsidP="00F01ED6">
      <w:pPr>
        <w:pStyle w:val="ProductList-Offering2Heading"/>
        <w:keepNext/>
        <w:tabs>
          <w:tab w:val="clear" w:pos="360"/>
          <w:tab w:val="clear" w:pos="720"/>
          <w:tab w:val="clear" w:pos="1080"/>
        </w:tabs>
        <w:outlineLvl w:val="2"/>
      </w:pPr>
      <w:bookmarkStart w:id="152" w:name="_Toc214456773"/>
      <w:r>
        <w:t>Azure Bastion</w:t>
      </w:r>
      <w:bookmarkEnd w:id="152"/>
    </w:p>
    <w:p w14:paraId="0D5D41DC" w14:textId="5882362B" w:rsidR="00250244" w:rsidRPr="00250244" w:rsidRDefault="00250244" w:rsidP="00F01ED6">
      <w:pPr>
        <w:pStyle w:val="ProductList-Body"/>
        <w:rPr>
          <w:b/>
          <w:bCs/>
          <w:color w:val="00188F"/>
          <w:szCs w:val="18"/>
        </w:rPr>
      </w:pPr>
      <w:r>
        <w:rPr>
          <w:b/>
          <w:bCs/>
          <w:color w:val="00188F"/>
          <w:szCs w:val="18"/>
        </w:rPr>
        <w:t>Definições Adicionais</w:t>
      </w:r>
    </w:p>
    <w:p w14:paraId="4DB44C5E" w14:textId="1551F503" w:rsidR="00250244" w:rsidRPr="00250244" w:rsidRDefault="00EE6E3C" w:rsidP="00F01ED6">
      <w:pPr>
        <w:pStyle w:val="ProductList-Body"/>
        <w:rPr>
          <w:b/>
          <w:bCs/>
          <w:color w:val="00188F"/>
          <w:szCs w:val="18"/>
        </w:rPr>
      </w:pPr>
      <w:r>
        <w:rPr>
          <w:b/>
          <w:bCs/>
          <w:color w:val="00188F"/>
          <w:szCs w:val="18"/>
        </w:rPr>
        <w:t>Cálculo do Período de Disponibilidade</w:t>
      </w:r>
    </w:p>
    <w:p w14:paraId="18E29BE0" w14:textId="570DA8F9" w:rsidR="00250244" w:rsidRPr="00250244" w:rsidRDefault="00380305" w:rsidP="00F01ED6">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designa o total de minutos acumulados durante um Período Aplicável durante o qual um determinado cluster do Azure Bastion tenha sido implementado numa subscrição do Microsoft Azure.</w:t>
      </w:r>
    </w:p>
    <w:p w14:paraId="5620F057" w14:textId="576C63C2" w:rsidR="00250244" w:rsidRPr="00250244" w:rsidRDefault="00380305" w:rsidP="00F01ED6">
      <w:pPr>
        <w:pStyle w:val="ProductList-Body"/>
        <w:rPr>
          <w:szCs w:val="18"/>
        </w:rPr>
      </w:pPr>
      <w:r>
        <w:rPr>
          <w:szCs w:val="18"/>
        </w:rPr>
        <w:t>“</w:t>
      </w:r>
      <w:r w:rsidR="00250244">
        <w:rPr>
          <w:b/>
          <w:bCs/>
          <w:color w:val="00188F"/>
          <w:szCs w:val="18"/>
        </w:rPr>
        <w:t>Período de Indisponibilidade</w:t>
      </w:r>
      <w:r>
        <w:rPr>
          <w:szCs w:val="18"/>
        </w:rPr>
        <w:t>”</w:t>
      </w:r>
      <w:r w:rsidR="00250244">
        <w:rPr>
          <w:szCs w:val="18"/>
        </w:rPr>
        <w:t xml:space="preserve"> designa o total acumulado de Máximo de Minutos Disponíveis durante o qual um Azure Bastion está indisponível. Considera-se que um minuto está indisponível se todas as tentativas de ligação ao Azure Bastion durante esse minuto falharem.</w:t>
      </w:r>
    </w:p>
    <w:p w14:paraId="4AEDBD7A" w14:textId="15F028B8" w:rsidR="00250244" w:rsidRPr="00250244" w:rsidRDefault="00250244" w:rsidP="00F01ED6">
      <w:pPr>
        <w:pStyle w:val="ProductList-Body"/>
        <w:rPr>
          <w:szCs w:val="18"/>
        </w:rPr>
      </w:pPr>
      <w:r>
        <w:t xml:space="preserve">A </w:t>
      </w:r>
      <w:r w:rsidR="00380305">
        <w:rPr>
          <w:szCs w:val="18"/>
        </w:rPr>
        <w:t>“</w:t>
      </w:r>
      <w:r>
        <w:rPr>
          <w:b/>
          <w:bCs/>
          <w:color w:val="00188F"/>
          <w:szCs w:val="18"/>
        </w:rPr>
        <w:t>Percentagem de Período de Disponibilidade</w:t>
      </w:r>
      <w:r w:rsidR="00380305">
        <w:rPr>
          <w:szCs w:val="18"/>
        </w:rPr>
        <w:t>”</w:t>
      </w:r>
      <w:r>
        <w:rPr>
          <w:szCs w:val="18"/>
        </w:rPr>
        <w:t xml:space="preserve"> para um determinado Azure Bastion é calculada como o Máximo de Minutos Disponíveis menos o</w:t>
      </w:r>
      <w:r w:rsidR="00730C28">
        <w:rPr>
          <w:szCs w:val="18"/>
        </w:rPr>
        <w:t> </w:t>
      </w:r>
      <w:r>
        <w:rPr>
          <w:szCs w:val="18"/>
        </w:rPr>
        <w:t>Período de Indisponibilidade a dividir pelo Máximo de Minutos Disponíveis num Período Aplicável para uma determinada subscrição do Microsoft Azure. A Percentagem de Período de Disponibilidade é representada pela seguinte fórmula:</w:t>
      </w:r>
    </w:p>
    <w:p w14:paraId="65632BC7" w14:textId="77777777" w:rsidR="00250244" w:rsidRPr="00391FE2" w:rsidRDefault="00250244" w:rsidP="00F01ED6">
      <w:pPr>
        <w:pStyle w:val="ProductList-Body"/>
        <w:rPr>
          <w:sz w:val="12"/>
          <w:szCs w:val="12"/>
        </w:rPr>
      </w:pPr>
    </w:p>
    <w:p w14:paraId="28936B34" w14:textId="55A15F32" w:rsidR="00250244"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8593AE" w14:textId="77777777" w:rsidR="00250244" w:rsidRPr="00250244" w:rsidRDefault="00250244" w:rsidP="00F01ED6">
      <w:pPr>
        <w:pStyle w:val="ProductList-Body"/>
        <w:keepNext/>
        <w:rPr>
          <w:b/>
          <w:bCs/>
          <w:color w:val="00188F"/>
          <w:szCs w:val="18"/>
        </w:rPr>
      </w:pPr>
      <w:r>
        <w:rPr>
          <w:b/>
          <w:bCs/>
          <w:color w:val="00188F"/>
          <w:szCs w:val="18"/>
        </w:rPr>
        <w:t>Os seguintes Níveis de Serviço e Créditos de Serviço são aplicáveis à utilização de cada Azure Bastion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B9090F" w14:textId="77777777" w:rsidR="00250244" w:rsidRPr="00EF7CF9" w:rsidRDefault="00250244" w:rsidP="00F01ED6">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F01ED6">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F01ED6">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F01ED6">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F01ED6">
            <w:pPr>
              <w:pStyle w:val="ProductList-OfferingBody"/>
              <w:keepNext/>
              <w:jc w:val="center"/>
            </w:pPr>
            <w:r>
              <w:t>25%</w:t>
            </w:r>
          </w:p>
        </w:tc>
      </w:tr>
    </w:tbl>
    <w:bookmarkStart w:id="153" w:name="_Toc52348941"/>
    <w:p w14:paraId="2765E0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361CDC7" w14:textId="3E84EC69" w:rsidR="00EF0466" w:rsidRPr="00EF7CF9" w:rsidRDefault="00EF0466" w:rsidP="00F01ED6">
      <w:pPr>
        <w:pStyle w:val="ProductList-Offering2Heading"/>
        <w:keepNext/>
        <w:tabs>
          <w:tab w:val="clear" w:pos="360"/>
          <w:tab w:val="clear" w:pos="720"/>
          <w:tab w:val="clear" w:pos="1080"/>
        </w:tabs>
        <w:outlineLvl w:val="2"/>
      </w:pPr>
      <w:bookmarkStart w:id="154" w:name="_Toc214456774"/>
      <w:r>
        <w:t>Batch</w:t>
      </w:r>
      <w:bookmarkEnd w:id="153"/>
      <w:bookmarkEnd w:id="154"/>
    </w:p>
    <w:p w14:paraId="7A200489" w14:textId="77777777" w:rsidR="00EF0466" w:rsidRPr="00EF7CF9" w:rsidRDefault="00EF0466" w:rsidP="00F01ED6">
      <w:pPr>
        <w:pStyle w:val="ProductList-Body"/>
        <w:keepNext/>
        <w:rPr>
          <w:b/>
          <w:color w:val="00188F"/>
        </w:rPr>
      </w:pPr>
      <w:r>
        <w:rPr>
          <w:b/>
          <w:color w:val="00188F"/>
        </w:rPr>
        <w:t>Definições Adicionais</w:t>
      </w:r>
      <w:r w:rsidRPr="00473DD3">
        <w:rPr>
          <w:b/>
          <w:color w:val="00188F"/>
        </w:rPr>
        <w:t>:</w:t>
      </w:r>
    </w:p>
    <w:p w14:paraId="395AF348" w14:textId="4699FAAB" w:rsidR="00EF0466" w:rsidRPr="00EF7CF9" w:rsidRDefault="00380305" w:rsidP="00F01ED6">
      <w:pPr>
        <w:pStyle w:val="ProductList-Body"/>
        <w:spacing w:after="40"/>
      </w:pPr>
      <w:r>
        <w:t>“</w:t>
      </w:r>
      <w:r w:rsidR="00EF0466">
        <w:rPr>
          <w:b/>
          <w:color w:val="00188F"/>
        </w:rPr>
        <w:t>Taxa Média de Erros</w:t>
      </w:r>
      <w:r>
        <w:t>”</w:t>
      </w:r>
      <w:r w:rsidR="00EF0466">
        <w:t xml:space="preserve"> para um Período Aplicável designa a soma das Taxas de Erros para cada hora no Período Aplicável de faturação a dividir pelo número total de horas no Período Aplicável.</w:t>
      </w:r>
    </w:p>
    <w:p w14:paraId="7133E034" w14:textId="41B4634F" w:rsidR="00EF0466" w:rsidRPr="00EF7CF9" w:rsidRDefault="00380305" w:rsidP="00F01ED6">
      <w:pPr>
        <w:pStyle w:val="ProductList-Body"/>
      </w:pPr>
      <w:r>
        <w:t>“</w:t>
      </w:r>
      <w:r w:rsidR="00EF0466">
        <w:rPr>
          <w:b/>
          <w:color w:val="00188F"/>
        </w:rPr>
        <w:t>Taxa de Erros</w:t>
      </w:r>
      <w:r>
        <w:t>”</w:t>
      </w:r>
      <w:r w:rsidR="00EF0466">
        <w:t xml:space="preserve"> designa o número total de Pedidos com Falha a dividir pelo Total de Pedidos durante um determinado intervalo de uma hora. Se o</w:t>
      </w:r>
      <w:r w:rsidR="000D5A78">
        <w:t> </w:t>
      </w:r>
      <w:r w:rsidR="00EF0466">
        <w:t>Total de Pedidos num determinado intervalo de uma hora for zero, a Taxa de Erros para esse intervalo é de 0%.</w:t>
      </w:r>
    </w:p>
    <w:p w14:paraId="6E2D1CEE" w14:textId="368B501E" w:rsidR="00EF0466" w:rsidRPr="00EF7CF9" w:rsidRDefault="00380305" w:rsidP="00F01ED6">
      <w:pPr>
        <w:pStyle w:val="ProductList-Body"/>
        <w:spacing w:after="40"/>
      </w:pPr>
      <w:r>
        <w:t>“</w:t>
      </w:r>
      <w:r w:rsidR="00EF0466">
        <w:rPr>
          <w:b/>
          <w:color w:val="00188F"/>
        </w:rPr>
        <w:t>Pedidos Excluídos</w:t>
      </w:r>
      <w:r>
        <w:t>”</w:t>
      </w:r>
      <w:r w:rsidR="00EF0466">
        <w:t xml:space="preserve"> são pedidos que resultam num código de estado HTTP 4xx, que não um código de estado HTTP 408.</w:t>
      </w:r>
    </w:p>
    <w:p w14:paraId="53BBC1FB" w14:textId="366197A6" w:rsidR="00EF0466" w:rsidRPr="00EF7CF9" w:rsidRDefault="00380305" w:rsidP="00F01ED6">
      <w:pPr>
        <w:pStyle w:val="ProductList-Body"/>
        <w:spacing w:after="40"/>
      </w:pPr>
      <w:r>
        <w:lastRenderedPageBreak/>
        <w:t>“</w:t>
      </w:r>
      <w:r w:rsidR="00EF0466">
        <w:rPr>
          <w:b/>
          <w:color w:val="00188F"/>
        </w:rPr>
        <w:t>Pedidos com Falha</w:t>
      </w:r>
      <w:r>
        <w:t>”</w:t>
      </w:r>
      <w:r w:rsidR="00EF0466">
        <w:t xml:space="preserve"> é o conjunto de todos os pedidos no Total de Pedidos que devolvem um Código de Erro ou um código de estado HTTP 408 ou</w:t>
      </w:r>
      <w:r w:rsidR="0021725E">
        <w:t> </w:t>
      </w:r>
      <w:r w:rsidR="00EF0466">
        <w:t>uma falha em devolver um Código de Êxito num prazo de 5 segundos.</w:t>
      </w:r>
    </w:p>
    <w:p w14:paraId="650DAD32" w14:textId="0B7BA439" w:rsidR="00EF0466" w:rsidRPr="000C03EC" w:rsidRDefault="00380305" w:rsidP="00F01ED6">
      <w:pPr>
        <w:pStyle w:val="ProductList-Body"/>
        <w:spacing w:after="40"/>
        <w:rPr>
          <w:spacing w:val="-3"/>
        </w:rPr>
      </w:pPr>
      <w:r>
        <w:rPr>
          <w:spacing w:val="-3"/>
        </w:rPr>
        <w:t>“</w:t>
      </w:r>
      <w:r w:rsidR="00EF0466" w:rsidRPr="000C03EC">
        <w:rPr>
          <w:b/>
          <w:color w:val="00188F"/>
          <w:spacing w:val="-3"/>
        </w:rPr>
        <w:t>Total de Pedidos</w:t>
      </w:r>
      <w:r>
        <w:rPr>
          <w:spacing w:val="-3"/>
        </w:rPr>
        <w:t>”</w:t>
      </w:r>
      <w:r w:rsidR="00EF0466" w:rsidRPr="000C03EC">
        <w:rPr>
          <w:spacing w:val="-3"/>
        </w:rPr>
        <w:t xml:space="preserve"> designa o número total de pedidos de API REST autenticados, que não Pedidos Excluídos, para executar operações relativamente a</w:t>
      </w:r>
      <w:r w:rsidR="000C03EC">
        <w:rPr>
          <w:spacing w:val="-3"/>
        </w:rPr>
        <w:t> </w:t>
      </w:r>
      <w:r w:rsidR="00EF0466" w:rsidRPr="000C03EC">
        <w:rPr>
          <w:spacing w:val="-3"/>
        </w:rPr>
        <w:t>contas Batch tentados num intervalo de uma hora, no âmbito de uma determinada subscrição do Azure e durante um Período Aplicável.</w:t>
      </w:r>
    </w:p>
    <w:p w14:paraId="7EAB2ED8" w14:textId="411BF165" w:rsidR="00EF0466" w:rsidRDefault="00AC48A7" w:rsidP="00F01ED6">
      <w:pPr>
        <w:pStyle w:val="ProductList-Body"/>
      </w:pPr>
      <w:r>
        <w:rPr>
          <w:b/>
          <w:color w:val="00188F"/>
        </w:rPr>
        <w:t>Percentagem de Período de Disponibilidade</w:t>
      </w:r>
      <w:r w:rsidRPr="00473DD3">
        <w:rPr>
          <w:b/>
          <w:color w:val="00188F"/>
        </w:rPr>
        <w:t>:</w:t>
      </w:r>
      <w:r>
        <w:t xml:space="preserve"> para o Serviço Batch é calculada ao subtrair de 100% a Taxa Média de Erros para uma determinada subscrição do Microsoft Azure num Período Aplicável. A </w:t>
      </w:r>
      <w:r w:rsidR="00380305">
        <w:t>“</w:t>
      </w:r>
      <w:r>
        <w:t>Taxa Média de Erros</w:t>
      </w:r>
      <w:r w:rsidR="00380305">
        <w:t>”</w:t>
      </w:r>
      <w:r>
        <w:t xml:space="preserve"> para um Período Aplicável designa a soma das Taxas de Erros para cada hora no Período Aplicável a dividir pelo número total de horas no Período Aplicável. </w:t>
      </w:r>
    </w:p>
    <w:p w14:paraId="083113DA" w14:textId="1E983909" w:rsidR="00EF0466" w:rsidRPr="00EF7CF9" w:rsidRDefault="00AC48A7" w:rsidP="00F01ED6">
      <w:pPr>
        <w:pStyle w:val="ProductList-Body"/>
      </w:pPr>
      <w:r>
        <w:t>A Percentagem de Período de Disponibilidade é representada pela seguinte fórmula:</w:t>
      </w:r>
    </w:p>
    <w:p w14:paraId="0BEE3720" w14:textId="5C960296" w:rsidR="00EF0466" w:rsidRPr="00EF7CF9" w:rsidRDefault="000C03EC" w:rsidP="00566946">
      <w:pPr>
        <w:pStyle w:val="ListParagraph"/>
        <w:spacing w:before="120" w:after="0" w:line="240" w:lineRule="auto"/>
        <w:rPr>
          <w:rFonts w:ascii="Cambria Math" w:hAnsi="Cambria Math" w:cs="Tahoma"/>
          <w:i/>
          <w:sz w:val="12"/>
          <w:szCs w:val="12"/>
        </w:rPr>
      </w:pPr>
      <m:oMathPara>
        <m:oMath>
          <m:r>
            <m:rPr>
              <m:nor/>
            </m:rPr>
            <w:rPr>
              <w:rFonts w:ascii="Cambria Math" w:hAnsi="Cambria Math" w:cs="Tahoma"/>
              <w:i/>
              <w:sz w:val="18"/>
              <w:szCs w:val="18"/>
            </w:rPr>
            <m:t xml:space="preserve">% de Período de Disponibilidade = 100% – Taxa Média de Erros </m:t>
          </m:r>
        </m:oMath>
      </m:oMathPara>
    </w:p>
    <w:p w14:paraId="4CC590BB" w14:textId="77777777" w:rsidR="00EF0466" w:rsidRPr="00EF7CF9" w:rsidRDefault="00EF046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7D8845" w14:textId="77777777" w:rsidR="00EF0466" w:rsidRPr="00EF7CF9" w:rsidRDefault="00EF0466" w:rsidP="00F01ED6">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277097">
        <w:tc>
          <w:tcPr>
            <w:tcW w:w="5400" w:type="dxa"/>
          </w:tcPr>
          <w:p w14:paraId="53AB855C" w14:textId="77777777" w:rsidR="00EF0466" w:rsidRPr="00EF7CF9" w:rsidRDefault="00EF0466" w:rsidP="00F01ED6">
            <w:pPr>
              <w:pStyle w:val="ProductList-OfferingBody"/>
              <w:jc w:val="center"/>
            </w:pPr>
            <w:r>
              <w:t>&lt; 99,9%</w:t>
            </w:r>
          </w:p>
        </w:tc>
        <w:tc>
          <w:tcPr>
            <w:tcW w:w="5400" w:type="dxa"/>
          </w:tcPr>
          <w:p w14:paraId="762804D1" w14:textId="77777777" w:rsidR="00EF0466" w:rsidRPr="00EF7CF9" w:rsidRDefault="00EF0466" w:rsidP="00F01ED6">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F01ED6">
            <w:pPr>
              <w:pStyle w:val="ProductList-OfferingBody"/>
              <w:jc w:val="center"/>
            </w:pPr>
            <w:r>
              <w:t>&lt; 99%</w:t>
            </w:r>
          </w:p>
        </w:tc>
        <w:tc>
          <w:tcPr>
            <w:tcW w:w="5400" w:type="dxa"/>
          </w:tcPr>
          <w:p w14:paraId="2BE675AB" w14:textId="77777777" w:rsidR="00EF0466" w:rsidRPr="00EF7CF9" w:rsidRDefault="00EF0466" w:rsidP="00F01ED6">
            <w:pPr>
              <w:pStyle w:val="ProductList-OfferingBody"/>
              <w:jc w:val="center"/>
            </w:pPr>
            <w:r>
              <w:t>25%</w:t>
            </w:r>
          </w:p>
        </w:tc>
      </w:tr>
    </w:tbl>
    <w:bookmarkStart w:id="155" w:name="_Toc457821542"/>
    <w:bookmarkStart w:id="156" w:name="_Toc52348943"/>
    <w:p w14:paraId="48D9E67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DD5416" w14:textId="77777777" w:rsidR="00EE07E3" w:rsidRPr="00EF7CF9" w:rsidRDefault="00EE07E3" w:rsidP="00F01ED6">
      <w:pPr>
        <w:pStyle w:val="ProductList-Offering2Heading"/>
        <w:keepNext/>
        <w:tabs>
          <w:tab w:val="clear" w:pos="360"/>
          <w:tab w:val="clear" w:pos="720"/>
          <w:tab w:val="clear" w:pos="1080"/>
        </w:tabs>
        <w:outlineLvl w:val="2"/>
      </w:pPr>
      <w:bookmarkStart w:id="157" w:name="_Toc214456775"/>
      <w:r>
        <w:t>Serviços BizTalk</w:t>
      </w:r>
      <w:bookmarkEnd w:id="155"/>
      <w:bookmarkEnd w:id="156"/>
      <w:bookmarkEnd w:id="157"/>
    </w:p>
    <w:p w14:paraId="1EEF97B3" w14:textId="77777777" w:rsidR="00EE07E3" w:rsidRPr="00EF7CF9" w:rsidRDefault="00EE07E3" w:rsidP="00F01ED6">
      <w:pPr>
        <w:pStyle w:val="ProductList-Body"/>
        <w:keepNext/>
        <w:rPr>
          <w:b/>
          <w:color w:val="00188F"/>
        </w:rPr>
      </w:pPr>
      <w:r>
        <w:rPr>
          <w:b/>
          <w:color w:val="00188F"/>
        </w:rPr>
        <w:t>Definições Adicionais</w:t>
      </w:r>
      <w:r w:rsidRPr="00473DD3">
        <w:rPr>
          <w:b/>
          <w:color w:val="00188F"/>
        </w:rPr>
        <w:t>:</w:t>
      </w:r>
    </w:p>
    <w:p w14:paraId="689B8158" w14:textId="3D091B09" w:rsidR="00EE07E3" w:rsidRPr="00EF7CF9" w:rsidRDefault="00380305" w:rsidP="00F01ED6">
      <w:pPr>
        <w:pStyle w:val="ProductList-Body"/>
        <w:spacing w:after="40"/>
      </w:pPr>
      <w:r>
        <w:t>“</w:t>
      </w:r>
      <w:r w:rsidR="00EE07E3">
        <w:rPr>
          <w:b/>
          <w:color w:val="00188F"/>
        </w:rPr>
        <w:t>Ambiente de Serviço BizTalk</w:t>
      </w:r>
      <w:r>
        <w:t>”</w:t>
      </w:r>
      <w:r w:rsidR="00EE07E3">
        <w:t xml:space="preserve"> designa uma implementação dos Serviços BizTalk criados pelo Cliente, tal como representado no Portal de Gestão, para o qual o Cliente pode enviar pedidos de mensagens de runtime.</w:t>
      </w:r>
    </w:p>
    <w:p w14:paraId="30BE0C93" w14:textId="1C2E63B7" w:rsidR="00EE07E3" w:rsidRPr="00EF7CF9" w:rsidRDefault="00380305" w:rsidP="00F01ED6">
      <w:pPr>
        <w:pStyle w:val="ProductList-Body"/>
        <w:spacing w:after="40"/>
      </w:pPr>
      <w:r>
        <w:t>“</w:t>
      </w:r>
      <w:r w:rsidR="00EE07E3">
        <w:rPr>
          <w:b/>
          <w:color w:val="00188F"/>
        </w:rPr>
        <w:t>Minutos de Implementação</w:t>
      </w:r>
      <w:r>
        <w:t>”</w:t>
      </w:r>
      <w:r w:rsidR="00EE07E3">
        <w:t xml:space="preserve"> designa o número total de minutos durante os quais um determinado Ambiente de Serviço BizTalk foi implementado no Microsoft Azure durante um Período Aplicável.</w:t>
      </w:r>
    </w:p>
    <w:p w14:paraId="05F523B2" w14:textId="6DA5E29F" w:rsidR="00EE07E3" w:rsidRPr="00EF7CF9" w:rsidRDefault="00380305" w:rsidP="00F01ED6">
      <w:pPr>
        <w:pStyle w:val="ProductList-Body"/>
        <w:spacing w:after="40"/>
      </w:pPr>
      <w:r>
        <w:t>“</w:t>
      </w:r>
      <w:r w:rsidR="00EE07E3">
        <w:rPr>
          <w:b/>
          <w:color w:val="00188F"/>
        </w:rPr>
        <w:t>Máximo de Minutos Disponíveis</w:t>
      </w:r>
      <w:r>
        <w:t>”</w:t>
      </w:r>
      <w:r w:rsidR="00EE07E3">
        <w:t xml:space="preserve"> designa a soma de todos os Minutos de Implementação em todos os Ambientes de Serviço BizTalk implementados pelo Cliente numa determinada subscrição do Microsoft Azure durante um Período Aplicável.</w:t>
      </w:r>
    </w:p>
    <w:p w14:paraId="2867114C" w14:textId="22980F7C" w:rsidR="00EE07E3" w:rsidRPr="00EF7CF9" w:rsidRDefault="00380305" w:rsidP="00F01ED6">
      <w:pPr>
        <w:pStyle w:val="ProductList-Body"/>
      </w:pPr>
      <w:r>
        <w:t>“</w:t>
      </w:r>
      <w:r w:rsidR="00EE07E3">
        <w:rPr>
          <w:b/>
          <w:color w:val="00188F"/>
        </w:rPr>
        <w:t>Conta de Armazenamento de Monitorização</w:t>
      </w:r>
      <w:r>
        <w:t>”</w:t>
      </w:r>
      <w:r w:rsidR="00EE07E3">
        <w:t xml:space="preserve"> designa a conta de Armazenamento do Azure utilizada pelos Serviços BizTalk para armazenar informações de monitorização relacionadas com a execução dos Serviços BizTalk.</w:t>
      </w:r>
    </w:p>
    <w:p w14:paraId="150F5BD7" w14:textId="13DCA8FC" w:rsidR="00EE07E3" w:rsidRPr="00EF7CF9" w:rsidRDefault="00EE07E3" w:rsidP="00F01ED6">
      <w:pPr>
        <w:pStyle w:val="ProductList-Body"/>
      </w:pPr>
      <w:r>
        <w:rPr>
          <w:b/>
          <w:color w:val="00188F"/>
        </w:rPr>
        <w:t>Período de Indisponibilidade</w:t>
      </w:r>
      <w:r w:rsidRPr="00473DD3">
        <w:rPr>
          <w:b/>
          <w:color w:val="00188F"/>
        </w:rPr>
        <w:t>:</w:t>
      </w:r>
      <w:r>
        <w:t xml:space="preserve"> 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w:t>
      </w:r>
      <w:r w:rsidR="00A445EB">
        <w:t> </w:t>
      </w:r>
      <w:r>
        <w:t>Cliente e o gateway de Internet da Microsoft.</w:t>
      </w:r>
    </w:p>
    <w:p w14:paraId="094308AC" w14:textId="6B9E9816" w:rsidR="00EE07E3"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684C104E" w14:textId="1BACD55D" w:rsidR="00EE07E3" w:rsidRPr="00EF7CF9" w:rsidRDefault="00000000" w:rsidP="00566946">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91A6EB5" w14:textId="77777777" w:rsidR="00EE07E3" w:rsidRPr="00EF7CF9" w:rsidRDefault="00EE07E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08E93F" w14:textId="77777777" w:rsidR="00EE07E3" w:rsidRPr="00EF7CF9" w:rsidRDefault="00EE07E3" w:rsidP="00F01ED6">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277097">
        <w:tc>
          <w:tcPr>
            <w:tcW w:w="5400" w:type="dxa"/>
          </w:tcPr>
          <w:p w14:paraId="15668B8B" w14:textId="77777777" w:rsidR="00EE07E3" w:rsidRPr="00EF7CF9" w:rsidRDefault="00EE07E3" w:rsidP="00F01ED6">
            <w:pPr>
              <w:pStyle w:val="ProductList-OfferingBody"/>
              <w:jc w:val="center"/>
            </w:pPr>
            <w:r>
              <w:t>&lt; 99,9%</w:t>
            </w:r>
          </w:p>
        </w:tc>
        <w:tc>
          <w:tcPr>
            <w:tcW w:w="5400" w:type="dxa"/>
          </w:tcPr>
          <w:p w14:paraId="1A041908" w14:textId="77777777" w:rsidR="00EE07E3" w:rsidRPr="00EF7CF9" w:rsidRDefault="00EE07E3" w:rsidP="00F01ED6">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F01ED6">
            <w:pPr>
              <w:pStyle w:val="ProductList-OfferingBody"/>
              <w:jc w:val="center"/>
            </w:pPr>
            <w:r>
              <w:t>&lt; 99%</w:t>
            </w:r>
          </w:p>
        </w:tc>
        <w:tc>
          <w:tcPr>
            <w:tcW w:w="5400" w:type="dxa"/>
          </w:tcPr>
          <w:p w14:paraId="03C66756" w14:textId="77777777" w:rsidR="00EE07E3" w:rsidRPr="00EF7CF9" w:rsidRDefault="00EE07E3" w:rsidP="00F01ED6">
            <w:pPr>
              <w:pStyle w:val="ProductList-OfferingBody"/>
              <w:jc w:val="center"/>
            </w:pPr>
            <w:r>
              <w:t>25%</w:t>
            </w:r>
          </w:p>
        </w:tc>
      </w:tr>
    </w:tbl>
    <w:p w14:paraId="06B841FB" w14:textId="77777777" w:rsidR="00EE07E3" w:rsidRPr="00EF7CF9" w:rsidRDefault="00EE07E3" w:rsidP="00F01ED6">
      <w:pPr>
        <w:pStyle w:val="ProductList-Body"/>
      </w:pPr>
    </w:p>
    <w:p w14:paraId="65C7EBDC" w14:textId="4889E5B3" w:rsidR="00EE07E3" w:rsidRPr="00EF7CF9" w:rsidRDefault="00EE07E3" w:rsidP="00F01ED6">
      <w:pPr>
        <w:pStyle w:val="ProductList-Body"/>
      </w:pPr>
      <w:r>
        <w:rPr>
          <w:b/>
          <w:color w:val="00188F"/>
        </w:rPr>
        <w:t>Exceções de Nível de Serviço</w:t>
      </w:r>
      <w:r w:rsidRPr="00473DD3">
        <w:rPr>
          <w:b/>
          <w:color w:val="00188F"/>
        </w:rPr>
        <w:t>:</w:t>
      </w:r>
      <w:r>
        <w:t xml:space="preserve"> Os Níveis de Serviço e Créditos de Serviço são aplicáveis à utilização que o Cliente faz das camadas Basic, Standard e</w:t>
      </w:r>
      <w:r w:rsidR="000C03EC">
        <w:t> </w:t>
      </w:r>
      <w:r>
        <w:t>Premium dos Serviços BizTalk. A camada Developer dos Serviços BizTalk do Microsoft Azure não é abrangida por este SLA.</w:t>
      </w:r>
    </w:p>
    <w:p w14:paraId="41B0412C" w14:textId="77777777" w:rsidR="00EE07E3" w:rsidRPr="00EF7CF9" w:rsidRDefault="00EE07E3" w:rsidP="00F01ED6">
      <w:pPr>
        <w:pStyle w:val="ProductList-Body"/>
      </w:pPr>
    </w:p>
    <w:p w14:paraId="21C0FE31" w14:textId="18D36707" w:rsidR="00EE07E3" w:rsidRPr="00EF7CF9" w:rsidRDefault="00EE07E3" w:rsidP="00F01ED6">
      <w:pPr>
        <w:pStyle w:val="ProductList-Body"/>
      </w:pPr>
      <w:r>
        <w:rPr>
          <w:b/>
          <w:color w:val="00188F"/>
        </w:rPr>
        <w:t>Termos Adicionais</w:t>
      </w:r>
      <w:r w:rsidRPr="00473DD3">
        <w:rPr>
          <w:b/>
          <w:color w:val="00188F"/>
        </w:rPr>
        <w:t>:</w:t>
      </w:r>
      <w:r>
        <w:t xml:space="preserve"> Ao submeter uma reclamação, o Cliente deve assegurar que os dados de monitorização completos são mantidos na Conta de</w:t>
      </w:r>
      <w:r w:rsidR="00911DE6">
        <w:t> </w:t>
      </w:r>
      <w:r>
        <w:t>Armazenamento de Monitorização e são disponibilizados à Microsoft.</w:t>
      </w:r>
    </w:p>
    <w:p w14:paraId="7B878C8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52D0FD56" w14:textId="58C7C03A" w:rsidR="004005AF" w:rsidRPr="00EF7CF9" w:rsidRDefault="004005AF" w:rsidP="00F01ED6">
      <w:pPr>
        <w:pStyle w:val="ProductList-Offering2Heading"/>
        <w:keepNext/>
        <w:tabs>
          <w:tab w:val="clear" w:pos="360"/>
          <w:tab w:val="clear" w:pos="720"/>
          <w:tab w:val="clear" w:pos="1080"/>
        </w:tabs>
        <w:outlineLvl w:val="2"/>
      </w:pPr>
      <w:bookmarkStart w:id="158" w:name="_Toc214456776"/>
      <w:r>
        <w:t>Azure Bot Service</w:t>
      </w:r>
      <w:bookmarkEnd w:id="150"/>
      <w:bookmarkEnd w:id="158"/>
    </w:p>
    <w:bookmarkEnd w:id="145"/>
    <w:p w14:paraId="3693B18C" w14:textId="77777777" w:rsidR="004005AF" w:rsidRPr="00EF7CF9" w:rsidRDefault="004005AF" w:rsidP="00F01ED6">
      <w:pPr>
        <w:pStyle w:val="ProductList-Body"/>
      </w:pPr>
      <w:r>
        <w:rPr>
          <w:b/>
          <w:color w:val="00188F"/>
        </w:rPr>
        <w:t>Definições Adicionais</w:t>
      </w:r>
      <w:r w:rsidRPr="00473DD3">
        <w:rPr>
          <w:b/>
          <w:color w:val="00188F"/>
        </w:rPr>
        <w:t>:</w:t>
      </w:r>
    </w:p>
    <w:p w14:paraId="5B0F1183" w14:textId="0CA33336" w:rsidR="004005AF" w:rsidRPr="00EF7CF9" w:rsidRDefault="00380305" w:rsidP="00F01ED6">
      <w:pPr>
        <w:pStyle w:val="ProductList-Body"/>
        <w:spacing w:after="40"/>
      </w:pPr>
      <w:r>
        <w:t>“</w:t>
      </w:r>
      <w:r w:rsidR="004005AF">
        <w:rPr>
          <w:b/>
          <w:color w:val="00188F"/>
        </w:rPr>
        <w:t>Canal Premium do Azure Bot Service</w:t>
      </w:r>
      <w:r>
        <w:t>”</w:t>
      </w:r>
      <w:r w:rsidR="004005AF">
        <w:t xml:space="preserve"> designa um canal de Enquadramento de Bots na categoria premium.</w:t>
      </w:r>
    </w:p>
    <w:p w14:paraId="6C1FBDA2" w14:textId="25126028" w:rsidR="004005AF" w:rsidRPr="00EF7CF9" w:rsidRDefault="00380305" w:rsidP="00F01ED6">
      <w:pPr>
        <w:pStyle w:val="ProductList-Body"/>
        <w:spacing w:after="40"/>
      </w:pPr>
      <w:r>
        <w:t>“</w:t>
      </w:r>
      <w:r w:rsidR="004005AF">
        <w:rPr>
          <w:b/>
          <w:color w:val="00188F"/>
        </w:rPr>
        <w:t>Bot</w:t>
      </w:r>
      <w:r>
        <w:t>”</w:t>
      </w:r>
      <w:r w:rsidR="004005AF">
        <w:t xml:space="preserve"> é a aplicação conversacional com interface para a Internet do programador que está registada e configurada para enviar e receber mensagens do Azure Bot Service.</w:t>
      </w:r>
    </w:p>
    <w:p w14:paraId="18BAD109" w14:textId="0521861B" w:rsidR="004005AF" w:rsidRPr="00EF7CF9" w:rsidRDefault="00380305" w:rsidP="00F01ED6">
      <w:pPr>
        <w:pStyle w:val="ProductList-Body"/>
        <w:spacing w:after="40"/>
      </w:pPr>
      <w:r>
        <w:t>“</w:t>
      </w:r>
      <w:r w:rsidR="004005AF">
        <w:rPr>
          <w:b/>
          <w:color w:val="00188F"/>
        </w:rPr>
        <w:t>Bot Framework</w:t>
      </w:r>
      <w:r>
        <w:t>”</w:t>
      </w:r>
      <w:r w:rsidR="004005AF">
        <w:rPr>
          <w:b/>
        </w:rPr>
        <w:t xml:space="preserve"> </w:t>
      </w:r>
      <w:r w:rsidR="004005AF">
        <w:t>é uma plataforma para criar, ligar, testar e desenvolver bots poderosos e inteligentes.</w:t>
      </w:r>
    </w:p>
    <w:p w14:paraId="51F2105F" w14:textId="6F9B160F" w:rsidR="004005AF" w:rsidRPr="00EF7CF9" w:rsidRDefault="00380305" w:rsidP="00F01ED6">
      <w:pPr>
        <w:pStyle w:val="ProductList-Body"/>
        <w:spacing w:after="40"/>
      </w:pPr>
      <w:r>
        <w:t>“</w:t>
      </w:r>
      <w:r w:rsidR="004005AF">
        <w:rPr>
          <w:b/>
          <w:color w:val="00188F"/>
        </w:rPr>
        <w:t>Cliente</w:t>
      </w:r>
      <w:r>
        <w:t>”</w:t>
      </w:r>
      <w:r w:rsidR="004005AF">
        <w:t xml:space="preserve"> é a parte destinada ao utilizador final de um Bot</w:t>
      </w:r>
      <w:r w:rsidR="004005AF">
        <w:rPr>
          <w:rStyle w:val="CommentReference"/>
          <w:sz w:val="18"/>
          <w:szCs w:val="18"/>
        </w:rPr>
        <w:t>.</w:t>
      </w:r>
    </w:p>
    <w:p w14:paraId="4E6AFF00" w14:textId="5A0C4B43" w:rsidR="004005AF" w:rsidRPr="000C03EC" w:rsidRDefault="00380305" w:rsidP="00F01ED6">
      <w:pPr>
        <w:pStyle w:val="ProductList-Body"/>
        <w:spacing w:after="40"/>
        <w:rPr>
          <w:spacing w:val="-3"/>
        </w:rPr>
      </w:pPr>
      <w:r>
        <w:rPr>
          <w:spacing w:val="-3"/>
        </w:rPr>
        <w:t>“</w:t>
      </w:r>
      <w:r w:rsidR="004005AF" w:rsidRPr="000C03EC">
        <w:rPr>
          <w:b/>
          <w:color w:val="00188F"/>
          <w:spacing w:val="-3"/>
        </w:rPr>
        <w:t>Ponto Final de API de Canais Premium</w:t>
      </w:r>
      <w:r>
        <w:rPr>
          <w:spacing w:val="-3"/>
        </w:rPr>
        <w:t>”</w:t>
      </w:r>
      <w:r w:rsidR="004005AF" w:rsidRPr="000C03EC">
        <w:rPr>
          <w:b/>
          <w:spacing w:val="-3"/>
        </w:rPr>
        <w:t xml:space="preserve"> </w:t>
      </w:r>
      <w:r w:rsidR="004005AF" w:rsidRPr="000C03EC">
        <w:rPr>
          <w:spacing w:val="-3"/>
        </w:rPr>
        <w:t>designa um ponto final de API REST de Enquadramento de Bots para os Canais Premium do Azure Bot Service</w:t>
      </w:r>
    </w:p>
    <w:p w14:paraId="2B77F191" w14:textId="3C907779" w:rsidR="004005AF" w:rsidRDefault="00EE6E3C" w:rsidP="00F01ED6">
      <w:pPr>
        <w:pStyle w:val="ProductList-Body"/>
        <w:spacing w:before="120"/>
      </w:pPr>
      <w:r>
        <w:rPr>
          <w:b/>
          <w:color w:val="00188F"/>
        </w:rPr>
        <w:lastRenderedPageBreak/>
        <w:t>Cálculo do Período de Disponibilidade e Níveis de Serviço para os Canais Premium do Azure Bot Services</w:t>
      </w:r>
      <w:r w:rsidRPr="00473DD3">
        <w:rPr>
          <w:b/>
          <w:color w:val="00188F"/>
        </w:rPr>
        <w:t>:</w:t>
      </w:r>
    </w:p>
    <w:p w14:paraId="337B1E38" w14:textId="238CE7B9" w:rsidR="004005AF" w:rsidRPr="00EF7CF9" w:rsidRDefault="00380305" w:rsidP="00F01ED6">
      <w:pPr>
        <w:pStyle w:val="ProductList-Body"/>
        <w:spacing w:after="40"/>
      </w:pPr>
      <w:r>
        <w:t>“</w:t>
      </w:r>
      <w:r w:rsidR="004005AF">
        <w:rPr>
          <w:b/>
          <w:color w:val="00188F"/>
        </w:rPr>
        <w:t>Total de Pedidos de API</w:t>
      </w:r>
      <w:r>
        <w:t>”</w:t>
      </w:r>
      <w:r w:rsidR="004005AF">
        <w:rPr>
          <w:b/>
        </w:rPr>
        <w:t xml:space="preserve"> </w:t>
      </w:r>
      <w:r w:rsidR="004005AF">
        <w:t>é o número total de pedidos feitos pelo Bot ou pelo Cliente ao Ponto Final de API do Canal Premium numa determinada subscrição do Microsoft Azure durante um Período Aplicável.</w:t>
      </w:r>
    </w:p>
    <w:p w14:paraId="15431C51" w14:textId="4170C036" w:rsidR="004005AF" w:rsidRPr="00EF7CF9" w:rsidRDefault="00380305" w:rsidP="00F01ED6">
      <w:pPr>
        <w:pStyle w:val="ProductList-Body"/>
        <w:spacing w:after="40"/>
        <w:rPr>
          <w:b/>
          <w:color w:val="00188F"/>
        </w:rPr>
      </w:pPr>
      <w:r>
        <w:t>“</w:t>
      </w:r>
      <w:r w:rsidR="004005AF">
        <w:rPr>
          <w:b/>
          <w:color w:val="00188F"/>
        </w:rPr>
        <w:t>Pedidos de API com Falha</w:t>
      </w:r>
      <w:r>
        <w:t>”</w:t>
      </w:r>
      <w:r w:rsidR="004005AF">
        <w:t xml:space="preserve"> designa o número total de pedidos no Total de Pedidos de API que devolvem um Código de Erro ou não respondem em 2 minutos. </w:t>
      </w:r>
    </w:p>
    <w:p w14:paraId="4AA21E53" w14:textId="2CC94D36" w:rsidR="004005AF" w:rsidRPr="00EF7CF9" w:rsidRDefault="00380305" w:rsidP="00F01ED6">
      <w:pPr>
        <w:pStyle w:val="ProductList-Body"/>
        <w:spacing w:after="40"/>
        <w:rPr>
          <w:lang w:eastAsia="zh-TW"/>
        </w:rPr>
      </w:pPr>
      <w:r>
        <w:t>“</w:t>
      </w:r>
      <w:r w:rsidR="004005AF">
        <w:rPr>
          <w:b/>
          <w:color w:val="00188F"/>
        </w:rPr>
        <w:t>Percentagem de Período de Disponibilidade</w:t>
      </w:r>
      <w:r>
        <w:t>”</w:t>
      </w:r>
      <w:r w:rsidR="004005AF">
        <w:t xml:space="preserve"> é calculada como o Total de Pedidos de API menos os Pedidos de API com Falha a dividir pelo Total de Pedidos de API multiplicado por 100.</w:t>
      </w:r>
    </w:p>
    <w:p w14:paraId="6131C33A" w14:textId="453EBD0A" w:rsidR="004005AF" w:rsidRPr="006F3CBD" w:rsidRDefault="00AC48A7" w:rsidP="00F01ED6">
      <w:pPr>
        <w:pStyle w:val="ProductList-Body"/>
      </w:pPr>
      <w:r>
        <w:rPr>
          <w:b/>
          <w:color w:val="00188F"/>
        </w:rPr>
        <w:t>Percentagem de Período de Disponibilidade</w:t>
      </w:r>
      <w:r w:rsidRPr="00473DD3">
        <w:rPr>
          <w:b/>
          <w:color w:val="00188F"/>
        </w:rPr>
        <w:t>:</w:t>
      </w:r>
      <w:r>
        <w:rPr>
          <w:b/>
          <w:color w:val="00188F"/>
        </w:rPr>
        <w:t xml:space="preserve"> </w:t>
      </w:r>
      <w:r>
        <w:t xml:space="preserve">A Percentagem de Período de Disponibilidade é calculada através da seguinte fórmula: </w:t>
      </w:r>
    </w:p>
    <w:p w14:paraId="30178757" w14:textId="01857468" w:rsidR="004005AF" w:rsidRPr="00EF7CF9" w:rsidRDefault="00000000" w:rsidP="00DD1742">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01ED6">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à utilização que o Cliente faz dos Canais Premium do Azure Bot Service.</w:t>
      </w:r>
    </w:p>
    <w:p w14:paraId="25AEB956" w14:textId="77777777" w:rsidR="004005AF" w:rsidRPr="00EF7CF9" w:rsidRDefault="004005AF" w:rsidP="00F01ED6">
      <w:pPr>
        <w:pStyle w:val="ProductList-Body"/>
      </w:pPr>
      <w:r>
        <w:rPr>
          <w:b/>
          <w:color w:val="00188F"/>
        </w:rPr>
        <w:t>Níveis de Serviço e Créditos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8109B5"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277097">
        <w:trPr>
          <w:trHeight w:val="242"/>
        </w:trPr>
        <w:tc>
          <w:tcPr>
            <w:tcW w:w="5400" w:type="dxa"/>
          </w:tcPr>
          <w:p w14:paraId="276900D5" w14:textId="77777777" w:rsidR="004005AF" w:rsidRPr="00EF7CF9" w:rsidRDefault="004005AF" w:rsidP="00F01ED6">
            <w:pPr>
              <w:pStyle w:val="ProductList-OfferingBody"/>
              <w:jc w:val="center"/>
            </w:pPr>
            <w:r>
              <w:t>&lt; 99,9%</w:t>
            </w:r>
          </w:p>
        </w:tc>
        <w:tc>
          <w:tcPr>
            <w:tcW w:w="5400" w:type="dxa"/>
          </w:tcPr>
          <w:p w14:paraId="0251B5DD" w14:textId="77777777" w:rsidR="004005AF" w:rsidRPr="00EF7CF9" w:rsidRDefault="004005AF" w:rsidP="00F01ED6">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F01ED6">
            <w:pPr>
              <w:pStyle w:val="ProductList-OfferingBody"/>
              <w:jc w:val="center"/>
            </w:pPr>
            <w:r>
              <w:t>&lt; 99%</w:t>
            </w:r>
          </w:p>
        </w:tc>
        <w:tc>
          <w:tcPr>
            <w:tcW w:w="5400" w:type="dxa"/>
          </w:tcPr>
          <w:p w14:paraId="4CE5B321" w14:textId="77777777" w:rsidR="004005AF" w:rsidRPr="00EF7CF9" w:rsidRDefault="004005AF" w:rsidP="00F01ED6">
            <w:pPr>
              <w:pStyle w:val="ProductList-OfferingBody"/>
              <w:jc w:val="center"/>
            </w:pPr>
            <w:r>
              <w:t>25%</w:t>
            </w:r>
          </w:p>
        </w:tc>
      </w:tr>
    </w:tbl>
    <w:bookmarkStart w:id="159" w:name="_Toc457821543"/>
    <w:bookmarkStart w:id="160" w:name="_Toc52348944"/>
    <w:bookmarkStart w:id="161" w:name="_Toc513395508"/>
    <w:bookmarkStart w:id="162" w:name="_Toc52348925"/>
    <w:bookmarkStart w:id="163" w:name="_Hlk513540036"/>
    <w:p w14:paraId="7A3ACA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69CFF11" w14:textId="77777777" w:rsidR="0004685C" w:rsidRPr="00EF7CF9" w:rsidRDefault="0004685C" w:rsidP="00583D89">
      <w:pPr>
        <w:pStyle w:val="ProductList-Offering2Heading"/>
        <w:keepNext/>
        <w:keepLines/>
        <w:tabs>
          <w:tab w:val="clear" w:pos="360"/>
          <w:tab w:val="clear" w:pos="720"/>
          <w:tab w:val="clear" w:pos="1080"/>
        </w:tabs>
        <w:outlineLvl w:val="2"/>
      </w:pPr>
      <w:bookmarkStart w:id="164" w:name="_Toc214456777"/>
      <w:r>
        <w:t xml:space="preserve">Cache do Azure </w:t>
      </w:r>
      <w:bookmarkEnd w:id="159"/>
      <w:bookmarkEnd w:id="160"/>
      <w:r>
        <w:t>para Redis</w:t>
      </w:r>
      <w:bookmarkEnd w:id="164"/>
    </w:p>
    <w:p w14:paraId="2FF228B6" w14:textId="77777777" w:rsidR="0004685C" w:rsidRPr="00EF7CF9" w:rsidRDefault="0004685C" w:rsidP="00583D89">
      <w:pPr>
        <w:pStyle w:val="ProductList-Body"/>
        <w:keepNext/>
        <w:keepLines/>
        <w:rPr>
          <w:b/>
          <w:color w:val="00188F"/>
        </w:rPr>
      </w:pPr>
      <w:r>
        <w:rPr>
          <w:b/>
          <w:color w:val="00188F"/>
        </w:rPr>
        <w:t>Definições Adicionais</w:t>
      </w:r>
      <w:r w:rsidRPr="00473DD3">
        <w:rPr>
          <w:b/>
          <w:color w:val="00188F"/>
        </w:rPr>
        <w:t>:</w:t>
      </w:r>
    </w:p>
    <w:p w14:paraId="7810996B" w14:textId="64AEFA62" w:rsidR="0004685C" w:rsidRPr="00EF7CF9" w:rsidRDefault="00380305" w:rsidP="00F01ED6">
      <w:pPr>
        <w:pStyle w:val="ProductList-Body"/>
        <w:spacing w:after="40"/>
      </w:pPr>
      <w:r>
        <w:t>“</w:t>
      </w:r>
      <w:r w:rsidR="0004685C">
        <w:rPr>
          <w:b/>
          <w:color w:val="00188F"/>
        </w:rPr>
        <w:t>Cache</w:t>
      </w:r>
      <w:r>
        <w:t>”</w:t>
      </w:r>
      <w:r w:rsidR="0004685C">
        <w:t xml:space="preserve"> designa uma implementação do Serviço de Cache criado pelo Cliente, para que os respetivos Pontos Finais da Cache sejam enumerados no</w:t>
      </w:r>
      <w:r w:rsidR="0051452A">
        <w:t> </w:t>
      </w:r>
      <w:r w:rsidR="0004685C">
        <w:t>separador Cache no Portal de Gestão.</w:t>
      </w:r>
    </w:p>
    <w:p w14:paraId="2FDA8CC4" w14:textId="15C98EB6" w:rsidR="0004685C" w:rsidRPr="00EF7CF9" w:rsidRDefault="00380305" w:rsidP="00F01ED6">
      <w:pPr>
        <w:pStyle w:val="ProductList-Body"/>
        <w:spacing w:after="40"/>
      </w:pPr>
      <w:r>
        <w:t>“</w:t>
      </w:r>
      <w:r w:rsidR="0004685C">
        <w:rPr>
          <w:b/>
          <w:color w:val="00188F"/>
        </w:rPr>
        <w:t>Pontos Finais da Cache</w:t>
      </w:r>
      <w:r>
        <w:t>”</w:t>
      </w:r>
      <w:r w:rsidR="0004685C">
        <w:t xml:space="preserve"> designa os pontos finais através dos quais uma Cache pode ser acedida.</w:t>
      </w:r>
    </w:p>
    <w:p w14:paraId="6E570E72" w14:textId="3F39648E" w:rsidR="0004685C" w:rsidRPr="003D7974" w:rsidRDefault="00380305" w:rsidP="00F01ED6">
      <w:pPr>
        <w:pStyle w:val="ProductList-Body"/>
        <w:spacing w:after="40"/>
        <w:rPr>
          <w:color w:val="000000" w:themeColor="text1"/>
          <w:spacing w:val="-2"/>
        </w:rPr>
      </w:pPr>
      <w:r>
        <w:rPr>
          <w:color w:val="000000" w:themeColor="text1"/>
          <w:spacing w:val="-2"/>
        </w:rPr>
        <w:t>“</w:t>
      </w:r>
      <w:r w:rsidR="0004685C" w:rsidRPr="003D7974">
        <w:rPr>
          <w:b/>
          <w:bCs/>
          <w:color w:val="00188F"/>
          <w:spacing w:val="-2"/>
        </w:rPr>
        <w:t>Zona de Disponibilidade</w:t>
      </w:r>
      <w:r>
        <w:rPr>
          <w:color w:val="000000" w:themeColor="text1"/>
          <w:spacing w:val="-2"/>
        </w:rPr>
        <w:t>”</w:t>
      </w:r>
      <w:r w:rsidR="0004685C" w:rsidRPr="003D7974">
        <w:rPr>
          <w:color w:val="000000" w:themeColor="text1"/>
          <w:spacing w:val="-2"/>
        </w:rPr>
        <w:t xml:space="preserve"> designa uma área isolada de falhas numa região do Azure que providencia alimentação, refrigeração e rede redundantes.</w:t>
      </w:r>
    </w:p>
    <w:p w14:paraId="1CD2240D" w14:textId="43E3874B" w:rsidR="0004685C" w:rsidRPr="00ED4527" w:rsidRDefault="00EE6E3C" w:rsidP="00F01ED6">
      <w:pPr>
        <w:pStyle w:val="ProductList-Body"/>
        <w:spacing w:before="240" w:after="40"/>
        <w:rPr>
          <w:b/>
          <w:bCs/>
          <w:color w:val="00188F"/>
        </w:rPr>
      </w:pPr>
      <w:r>
        <w:rPr>
          <w:b/>
          <w:bCs/>
          <w:color w:val="00188F"/>
        </w:rPr>
        <w:t>Cálculo do Período de Disponibilidade e Níveis de Serviço para o Serviço da Cache</w:t>
      </w:r>
    </w:p>
    <w:p w14:paraId="44BDCB48" w14:textId="4B802D1B" w:rsidR="0004685C" w:rsidRPr="00EF7CF9" w:rsidRDefault="00380305" w:rsidP="00D44BDA">
      <w:pPr>
        <w:pStyle w:val="ProductList-Body"/>
      </w:pPr>
      <w:r>
        <w:t>“</w:t>
      </w:r>
      <w:r w:rsidR="0004685C">
        <w:rPr>
          <w:b/>
          <w:color w:val="00188F"/>
        </w:rPr>
        <w:t>Minutos de Implementação</w:t>
      </w:r>
      <w:r>
        <w:t>”</w:t>
      </w:r>
      <w:r w:rsidR="0004685C">
        <w:t xml:space="preserve"> designa o número total de minutos durante os quais uma determinada Cache foi implementada no Microsoft Azure durante um Período Aplicável.</w:t>
      </w:r>
    </w:p>
    <w:p w14:paraId="402C6AB7" w14:textId="62880B09" w:rsidR="0004685C" w:rsidRPr="00EF7CF9" w:rsidRDefault="00380305" w:rsidP="00D44BDA">
      <w:pPr>
        <w:pStyle w:val="ProductList-Body"/>
      </w:pPr>
      <w:r>
        <w:t>“</w:t>
      </w:r>
      <w:r w:rsidR="0004685C">
        <w:rPr>
          <w:b/>
          <w:color w:val="00188F"/>
        </w:rPr>
        <w:t>Máximo de Minutos Disponíveis</w:t>
      </w:r>
      <w:r>
        <w:t>”</w:t>
      </w:r>
      <w:r w:rsidR="0004685C">
        <w:t xml:space="preserve"> designa a soma de todos os Minutos de Implementação em todas as Caches implementadas pelo Cliente numa determinada subscrição do Microsoft Azure durante um Período Aplicável.</w:t>
      </w:r>
    </w:p>
    <w:p w14:paraId="0306B4FE" w14:textId="77777777" w:rsidR="0004685C" w:rsidRPr="003D7974" w:rsidRDefault="0004685C" w:rsidP="00F01ED6">
      <w:pPr>
        <w:pStyle w:val="ProductList-Body"/>
        <w:rPr>
          <w:spacing w:val="-2"/>
        </w:rPr>
      </w:pPr>
      <w:r w:rsidRPr="003D7974">
        <w:rPr>
          <w:b/>
          <w:color w:val="00188F"/>
          <w:spacing w:val="-2"/>
        </w:rPr>
        <w:t>Período de Indisponibilidade</w:t>
      </w:r>
      <w:r w:rsidRPr="00473DD3">
        <w:rPr>
          <w:b/>
          <w:color w:val="00188F"/>
          <w:spacing w:val="-2"/>
        </w:rPr>
        <w:t>:</w:t>
      </w:r>
      <w:r w:rsidRPr="003D7974">
        <w:rPr>
          <w:spacing w:val="-2"/>
        </w:rPr>
        <w:t xml:space="preserve"> Total de Minutos de Implementação acumulados, em todas as Caches implementadas pelo Cliente numa determinada subscrição do Microsoft Azure, no qual a Cache está indisponível. Um minuto é considerado indisponível para uma determinada Cache quando não existe nenhuma conectividade no minuto entre um ou mais Pontos Finais da Cache associados à Cache e gateway de Internet da Microsoft.</w:t>
      </w:r>
    </w:p>
    <w:p w14:paraId="335A24D4" w14:textId="45DAE971" w:rsidR="000468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27C77E4" w14:textId="2EB0031D" w:rsidR="0004685C" w:rsidRPr="00EF7CF9" w:rsidRDefault="00000000" w:rsidP="00D44BD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C1042BE" w14:textId="77777777" w:rsidR="0004685C" w:rsidRPr="00EF7CF9" w:rsidRDefault="0004685C" w:rsidP="00F01ED6">
      <w:pPr>
        <w:pStyle w:val="ProductList-Body"/>
      </w:pPr>
      <w:r w:rsidRPr="001B020C">
        <w:rPr>
          <w:b/>
          <w:color w:val="00188F"/>
        </w:rPr>
        <w:t>Os Níveis de Serviço e os Créditos de Serviço aplicáveis à utilização que o Cliente faz do Serviço de Cache variam consoante as condições e a camada de implementação do Serviço de Cache.</w:t>
      </w:r>
      <w:r>
        <w:rPr>
          <w:b/>
          <w:color w:val="00188F"/>
        </w:rPr>
        <w:t xml:space="preserve"> </w:t>
      </w:r>
      <w:r>
        <w:t>Salvo disposição em contrário prevista supra, os Níveis de Serviço e Créditos de Serviço são aplicáveis à utilização que o Cliente faz do Serviço de Cache, que inclui o Serviço Gerido de Cache do Azure para as camadas the Standard, Premium, Enterprise e Enterprise Flash do Serviço de Cache do Azure para Redis. A camada Basic da Cache do Azure Cache for Redis não é abrangida por este SLA.</w:t>
      </w:r>
    </w:p>
    <w:p w14:paraId="66DD2F7D" w14:textId="77777777" w:rsidR="0004685C" w:rsidRPr="00EF7CF9" w:rsidRDefault="0004685C" w:rsidP="00F01ED6">
      <w:pPr>
        <w:pStyle w:val="ProductList-Body"/>
        <w:spacing w:before="120"/>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965EA41"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D76F8C">
        <w:trPr>
          <w:tblHeader/>
        </w:trPr>
        <w:tc>
          <w:tcPr>
            <w:tcW w:w="5400" w:type="dxa"/>
          </w:tcPr>
          <w:p w14:paraId="40C3317A" w14:textId="77777777" w:rsidR="0004685C" w:rsidRPr="00EF7CF9" w:rsidRDefault="0004685C" w:rsidP="00F01ED6">
            <w:pPr>
              <w:pStyle w:val="ProductList-OfferingBody"/>
              <w:jc w:val="center"/>
            </w:pPr>
            <w:r>
              <w:t>&lt; 99,9%</w:t>
            </w:r>
          </w:p>
        </w:tc>
        <w:tc>
          <w:tcPr>
            <w:tcW w:w="5400" w:type="dxa"/>
          </w:tcPr>
          <w:p w14:paraId="1B4DF648" w14:textId="77777777" w:rsidR="0004685C" w:rsidRPr="00EF7CF9" w:rsidRDefault="0004685C" w:rsidP="00F01ED6">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F01ED6">
            <w:pPr>
              <w:pStyle w:val="ProductList-OfferingBody"/>
              <w:jc w:val="center"/>
            </w:pPr>
            <w:r>
              <w:t>&lt; 99%</w:t>
            </w:r>
          </w:p>
        </w:tc>
        <w:tc>
          <w:tcPr>
            <w:tcW w:w="5400" w:type="dxa"/>
          </w:tcPr>
          <w:p w14:paraId="05A7B2AB" w14:textId="77777777" w:rsidR="0004685C" w:rsidRPr="00EF7CF9" w:rsidRDefault="0004685C" w:rsidP="00F01ED6">
            <w:pPr>
              <w:pStyle w:val="ProductList-OfferingBody"/>
              <w:jc w:val="center"/>
            </w:pPr>
            <w:r>
              <w:t>25%</w:t>
            </w:r>
          </w:p>
        </w:tc>
      </w:tr>
    </w:tbl>
    <w:p w14:paraId="34F82DF2" w14:textId="77777777" w:rsidR="0004685C" w:rsidRPr="001B020C" w:rsidRDefault="0004685C" w:rsidP="00F01ED6">
      <w:pPr>
        <w:pStyle w:val="ProductList-Body"/>
        <w:rPr>
          <w:sz w:val="12"/>
          <w:szCs w:val="12"/>
        </w:rPr>
      </w:pPr>
    </w:p>
    <w:p w14:paraId="30076BD1" w14:textId="355065C9" w:rsidR="0004685C" w:rsidRPr="00EF7CF9" w:rsidRDefault="0004685C" w:rsidP="00F01ED6">
      <w:pPr>
        <w:pStyle w:val="ProductList-Body"/>
      </w:pPr>
      <w:r>
        <w:rPr>
          <w:b/>
          <w:color w:val="00188F"/>
        </w:rPr>
        <w:t>Para qualquer Cache da camada Enterprise ou Enterprise Flash implementada em três ou mais Zonas de Disponibilidade na mesma região do</w:t>
      </w:r>
      <w:r w:rsidR="00A64E2A">
        <w:rPr>
          <w:b/>
          <w:color w:val="00188F"/>
        </w:rPr>
        <w:t> </w:t>
      </w:r>
      <w:r>
        <w:rPr>
          <w:b/>
          <w:color w:val="00188F"/>
        </w:rPr>
        <w:t>Azure, os seguintes Níveis de Serviço e Créditos de Serviço são aplicáveis à utilização do Serviço de Cache por parte do Cliente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33E360"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277097">
        <w:tc>
          <w:tcPr>
            <w:tcW w:w="5400" w:type="dxa"/>
          </w:tcPr>
          <w:p w14:paraId="60191564" w14:textId="77777777" w:rsidR="0004685C" w:rsidRPr="00EF7CF9" w:rsidRDefault="0004685C" w:rsidP="00F01ED6">
            <w:pPr>
              <w:pStyle w:val="ProductList-OfferingBody"/>
              <w:jc w:val="center"/>
            </w:pPr>
            <w:r>
              <w:t>&lt; 99,99%</w:t>
            </w:r>
          </w:p>
        </w:tc>
        <w:tc>
          <w:tcPr>
            <w:tcW w:w="5400" w:type="dxa"/>
          </w:tcPr>
          <w:p w14:paraId="3D567957" w14:textId="77777777" w:rsidR="0004685C" w:rsidRPr="00EF7CF9" w:rsidRDefault="0004685C" w:rsidP="00F01ED6">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F01ED6">
            <w:pPr>
              <w:pStyle w:val="ProductList-OfferingBody"/>
              <w:jc w:val="center"/>
            </w:pPr>
            <w:r>
              <w:t>&lt; 99%</w:t>
            </w:r>
          </w:p>
        </w:tc>
        <w:tc>
          <w:tcPr>
            <w:tcW w:w="5400" w:type="dxa"/>
          </w:tcPr>
          <w:p w14:paraId="320D3D52" w14:textId="77777777" w:rsidR="0004685C" w:rsidRPr="00EF7CF9" w:rsidRDefault="0004685C" w:rsidP="00F01ED6">
            <w:pPr>
              <w:pStyle w:val="ProductList-OfferingBody"/>
              <w:jc w:val="center"/>
            </w:pPr>
            <w:r>
              <w:t>25%</w:t>
            </w:r>
          </w:p>
        </w:tc>
      </w:tr>
    </w:tbl>
    <w:p w14:paraId="43BB701A" w14:textId="77777777" w:rsidR="0004685C" w:rsidRPr="001B020C" w:rsidRDefault="0004685C" w:rsidP="00F01ED6">
      <w:pPr>
        <w:pStyle w:val="ProductList-Body"/>
        <w:rPr>
          <w:sz w:val="12"/>
          <w:szCs w:val="12"/>
        </w:rPr>
      </w:pPr>
    </w:p>
    <w:p w14:paraId="08C85FED" w14:textId="77777777" w:rsidR="0004685C" w:rsidRPr="00EF7CF9" w:rsidRDefault="0004685C" w:rsidP="00F01ED6">
      <w:pPr>
        <w:pStyle w:val="ProductList-Body"/>
      </w:pPr>
      <w:r>
        <w:rPr>
          <w:b/>
          <w:color w:val="00188F"/>
        </w:rPr>
        <w:lastRenderedPageBreak/>
        <w:t>Para qualquer Cache da camada Enterprise e Enterprise Flash implementada (1) em pelo menos três regiões do Azure e três ou mais Zonas de Disponibilidade em cada uma destas regiões, e (2) com a georreplicação ativa ativada para todas as instâncias da Cache quando a funcionalidade de georreplicação ativa está ativada e geralmente disponível (ou seja, sem estar em pré-visualização), os seguintes Níveis de Serviço e Créditos de Serviço são aplicáveis à utilização do Serviço de Cache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71069A"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277097">
        <w:tc>
          <w:tcPr>
            <w:tcW w:w="5400" w:type="dxa"/>
          </w:tcPr>
          <w:p w14:paraId="079111A8" w14:textId="77777777" w:rsidR="0004685C" w:rsidRPr="00EF7CF9" w:rsidRDefault="0004685C" w:rsidP="00F01ED6">
            <w:pPr>
              <w:pStyle w:val="ProductList-OfferingBody"/>
              <w:jc w:val="center"/>
            </w:pPr>
            <w:r>
              <w:t>&lt; 99,999%</w:t>
            </w:r>
          </w:p>
        </w:tc>
        <w:tc>
          <w:tcPr>
            <w:tcW w:w="5400" w:type="dxa"/>
          </w:tcPr>
          <w:p w14:paraId="635F03C4" w14:textId="77777777" w:rsidR="0004685C" w:rsidRPr="00EF7CF9" w:rsidRDefault="0004685C" w:rsidP="00F01ED6">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F01ED6">
            <w:pPr>
              <w:pStyle w:val="ProductList-OfferingBody"/>
              <w:jc w:val="center"/>
            </w:pPr>
            <w:r>
              <w:t>&lt; 99%</w:t>
            </w:r>
          </w:p>
        </w:tc>
        <w:tc>
          <w:tcPr>
            <w:tcW w:w="5400" w:type="dxa"/>
          </w:tcPr>
          <w:p w14:paraId="16FB54C8" w14:textId="77777777" w:rsidR="0004685C" w:rsidRPr="00EF7CF9" w:rsidRDefault="0004685C" w:rsidP="00F01ED6">
            <w:pPr>
              <w:pStyle w:val="ProductList-OfferingBody"/>
              <w:jc w:val="center"/>
            </w:pPr>
            <w:r>
              <w:t>25%</w:t>
            </w:r>
          </w:p>
        </w:tc>
      </w:tr>
    </w:tbl>
    <w:bookmarkStart w:id="165" w:name="_Toc52348946"/>
    <w:p w14:paraId="21560E3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574B749" w14:textId="77777777" w:rsidR="001C6B3E" w:rsidRPr="0075676C" w:rsidRDefault="001C6B3E" w:rsidP="001C6B3E">
      <w:pPr>
        <w:pStyle w:val="ProductList-Offering2Heading"/>
        <w:keepNext/>
        <w:tabs>
          <w:tab w:val="clear" w:pos="360"/>
          <w:tab w:val="clear" w:pos="720"/>
          <w:tab w:val="clear" w:pos="1080"/>
        </w:tabs>
        <w:outlineLvl w:val="2"/>
      </w:pPr>
      <w:bookmarkStart w:id="166" w:name="_Toc214456778"/>
      <w:r w:rsidRPr="0075676C">
        <w:t>Azure Managed Redis</w:t>
      </w:r>
      <w:bookmarkEnd w:id="166"/>
    </w:p>
    <w:p w14:paraId="49A84B21" w14:textId="77777777" w:rsidR="001C6B3E" w:rsidRPr="00C63E56" w:rsidRDefault="001C6B3E" w:rsidP="001C6B3E">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Definições Adicionais</w:t>
      </w:r>
      <w:r w:rsidRPr="00944399">
        <w:rPr>
          <w:rStyle w:val="normaltextrun"/>
          <w:rFonts w:ascii="Calibri" w:eastAsiaTheme="majorEastAsia" w:hAnsi="Calibri" w:cs="Calibri"/>
          <w:b/>
          <w:color w:val="00188F"/>
          <w:sz w:val="18"/>
          <w:szCs w:val="18"/>
        </w:rPr>
        <w:t>:</w:t>
      </w:r>
    </w:p>
    <w:p w14:paraId="58571923"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sidRPr="00466D15">
        <w:rPr>
          <w:sz w:val="18"/>
          <w:szCs w:val="18"/>
        </w:rPr>
        <w:t>A</w:t>
      </w:r>
      <w:r>
        <w:t xml:space="preserve">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instância Azure Managed Redis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é uma implementação do Serviço Azure Managed Redis, de modo que os seus pontos finais de leitura/escrita são enumerados no Portal de Gestão.</w:t>
      </w:r>
    </w:p>
    <w:p w14:paraId="206C3FFD"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“Pontos finais do Azure Managed Redis”</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designa os pontos finais através dos quais se pode aceder ao Azure Managed Redis.</w:t>
      </w:r>
    </w:p>
    <w:p w14:paraId="73DF9271"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Elevada 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no contexto do Azure Managed Redis significa que a instância do Azure Managed Redis foi implementada numa configuração de elevada disponibilidade com extensões primárias e de réplicas em dois ou mais nós.</w:t>
      </w:r>
    </w:p>
    <w:p w14:paraId="6301E878"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“Georreplicação Ativa”</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designa a ativação de um grupo de georreplicação com várias instâncias do Azure Managed Redis distribuídas geograficamente para sincronizar os dados numa configuração ativa-ativa.</w:t>
      </w:r>
    </w:p>
    <w:p w14:paraId="5B402154"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Zona de 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é uma área isolada de falhas numa região do Azure que fornece energia, refrigeração e rede redundantes.</w:t>
      </w:r>
    </w:p>
    <w:p w14:paraId="464B7645"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Redundância de Zonas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designa uma instância do Azure Managed Redis implementada com elevada disponibilidade em que as extensões primárias e de réplica são distribuídas em duas ou mais zonas de disponibilidade.</w:t>
      </w:r>
    </w:p>
    <w:p w14:paraId="58051E57" w14:textId="77777777" w:rsidR="001C6B3E" w:rsidRPr="00C63E56" w:rsidRDefault="001C6B3E" w:rsidP="001C6B3E">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Cálculo do Período de Disponibilidade e Níveis de Serviço para o Serviço Azure Managed Redis Sem Georreplicação Ativa</w:t>
      </w:r>
    </w:p>
    <w:p w14:paraId="5769D150"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“Máximo de Minutos Disponíveis”</w:t>
      </w:r>
      <w:r>
        <w:rPr>
          <w:rStyle w:val="normaltextrun"/>
          <w:rFonts w:ascii="Calibri" w:eastAsiaTheme="majorEastAsia" w:hAnsi="Calibri" w:cs="Calibri"/>
          <w:sz w:val="18"/>
          <w:szCs w:val="18"/>
        </w:rPr>
        <w:t xml:space="preserve"> designa o número total de minutos para uma determinada instância do Azure Managed Redis implementada pelo Cliente numa subscrição do Microsoft Azure durante um Período Aplicável.</w:t>
      </w:r>
    </w:p>
    <w:p w14:paraId="118FBE83"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“Período de Indisponibilidade”</w:t>
      </w:r>
      <w:r>
        <w:rPr>
          <w:rStyle w:val="normaltextrun"/>
          <w:rFonts w:ascii="Calibri" w:eastAsiaTheme="majorEastAsia" w:hAnsi="Calibri" w:cs="Calibri"/>
          <w:sz w:val="18"/>
          <w:szCs w:val="18"/>
        </w:rPr>
        <w:t xml:space="preserve"> designa o número total de minutos durante Máximo de Minutos Disponíveis durante os quais a instância do Azure Managed Redis está indisponível. Um minuto é considerado indisponível para uma determinada instância do Azure Managed Redis quando não existe qualquer conectividade ao longo do minuto entre todos os Pontos Finais do Azure Managed Redis associados à instância do Azure Managed Redis e o gateway de Internet da Microsoft, e o Cliente não iniciou quaisquer funcionalidades do produto ou ações de gestão que estejam documentadas para produzir indisponibilidade temporária.</w:t>
      </w:r>
    </w:p>
    <w:p w14:paraId="528C4FE7" w14:textId="77777777" w:rsidR="001C6B3E" w:rsidRPr="00C63E56" w:rsidRDefault="001C6B3E" w:rsidP="001C6B3E">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Percentagem de Período de Disponibilidade</w:t>
      </w:r>
      <w:r w:rsidRPr="00944399">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 Percentagem de Período de Disponibilidade é calculada através da seguinte fórmula:</w:t>
      </w:r>
    </w:p>
    <w:p w14:paraId="6BE2201D" w14:textId="77777777" w:rsidR="001C6B3E" w:rsidRPr="001E28FB" w:rsidRDefault="00000000" w:rsidP="001C6B3E">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6F883" w14:textId="77777777" w:rsidR="001C6B3E" w:rsidRDefault="001C6B3E" w:rsidP="001C6B3E">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Os seguintes Níveis de Serviço e Créditos de serviço são aplicáveis à utilização que o Cliente faz das camadas Otimizada para Memória, Equilibrada, Otimizada para Computação, Otimizada para a Memória Flash do Azure Managed Redis configuradas em modo de Elevada Disponibilidade sem utilizar a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6B3E" w:rsidRPr="00EF7CF9" w14:paraId="6F35CEAE" w14:textId="77777777" w:rsidTr="0078028E">
        <w:trPr>
          <w:trHeight w:val="245"/>
          <w:tblHeader/>
        </w:trPr>
        <w:tc>
          <w:tcPr>
            <w:tcW w:w="5400" w:type="dxa"/>
            <w:shd w:val="clear" w:color="auto" w:fill="0072C6"/>
          </w:tcPr>
          <w:p w14:paraId="09A89CB9" w14:textId="77777777" w:rsidR="001C6B3E" w:rsidRPr="00E75915"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24912499" w14:textId="77777777" w:rsidR="001C6B3E" w:rsidRPr="00E75915"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1C6B3E" w:rsidRPr="00EF7CF9" w14:paraId="4EFDA250" w14:textId="77777777" w:rsidTr="0078028E">
        <w:trPr>
          <w:trHeight w:val="245"/>
        </w:trPr>
        <w:tc>
          <w:tcPr>
            <w:tcW w:w="5400" w:type="dxa"/>
          </w:tcPr>
          <w:p w14:paraId="7E46E5E3"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&lt; 99,9%</w:t>
            </w:r>
          </w:p>
        </w:tc>
        <w:tc>
          <w:tcPr>
            <w:tcW w:w="5400" w:type="dxa"/>
          </w:tcPr>
          <w:p w14:paraId="00EE3F43"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10%</w:t>
            </w:r>
          </w:p>
        </w:tc>
      </w:tr>
      <w:tr w:rsidR="001C6B3E" w:rsidRPr="00EF7CF9" w14:paraId="22B5B81A" w14:textId="77777777" w:rsidTr="0078028E">
        <w:trPr>
          <w:trHeight w:val="245"/>
        </w:trPr>
        <w:tc>
          <w:tcPr>
            <w:tcW w:w="5400" w:type="dxa"/>
          </w:tcPr>
          <w:p w14:paraId="7348C102"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49216F40"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25%</w:t>
            </w:r>
          </w:p>
        </w:tc>
      </w:tr>
    </w:tbl>
    <w:p w14:paraId="30648CB9" w14:textId="77777777" w:rsidR="001C6B3E" w:rsidRDefault="001C6B3E" w:rsidP="001C6B3E">
      <w:pPr>
        <w:spacing w:before="120" w:after="0" w:line="240" w:lineRule="auto"/>
        <w:textAlignment w:val="baseline"/>
        <w:rPr>
          <w:rFonts w:ascii="Calibri" w:eastAsia="Times New Roman" w:hAnsi="Calibri" w:cs="Calibri"/>
          <w:b/>
          <w:bCs/>
          <w:color w:val="00188F"/>
          <w:sz w:val="18"/>
          <w:szCs w:val="18"/>
        </w:rPr>
      </w:pPr>
      <w:bookmarkStart w:id="167" w:name="_Hlk197960496"/>
      <w:r>
        <w:rPr>
          <w:rFonts w:ascii="Calibri" w:eastAsia="Times New Roman" w:hAnsi="Calibri" w:cs="Calibri"/>
          <w:b/>
          <w:bCs/>
          <w:color w:val="00188F"/>
          <w:sz w:val="18"/>
          <w:szCs w:val="18"/>
        </w:rPr>
        <w:t>Os seguintes Níveis de Serviço e Créditos de serviço são aplicáveis à utilização que o Cliente faz das camadas Otimizada para Memória, Equilibrada, Otimizada para Computação, Otimizada para a Memória Flash do Azure Managed Redis configuradas em modo de Elevada Disponibilidade ao utilizar a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6B3E" w:rsidRPr="00E75915" w14:paraId="2A780B70" w14:textId="77777777" w:rsidTr="0078028E">
        <w:trPr>
          <w:trHeight w:val="245"/>
          <w:tblHeader/>
        </w:trPr>
        <w:tc>
          <w:tcPr>
            <w:tcW w:w="5400" w:type="dxa"/>
            <w:shd w:val="clear" w:color="auto" w:fill="0072C6"/>
          </w:tcPr>
          <w:p w14:paraId="1C774F6E" w14:textId="77777777" w:rsidR="001C6B3E" w:rsidRPr="00E75915"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282EE79C" w14:textId="77777777" w:rsidR="001C6B3E" w:rsidRPr="00E75915"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1C6B3E" w:rsidRPr="00E75915" w14:paraId="1B104899" w14:textId="77777777" w:rsidTr="0078028E">
        <w:trPr>
          <w:trHeight w:val="245"/>
        </w:trPr>
        <w:tc>
          <w:tcPr>
            <w:tcW w:w="5400" w:type="dxa"/>
          </w:tcPr>
          <w:p w14:paraId="5A5B9144" w14:textId="3B6FBDC3" w:rsidR="001C6B3E" w:rsidRPr="00E75915" w:rsidRDefault="001C6B3E" w:rsidP="0078028E">
            <w:pPr>
              <w:pStyle w:val="ProductList-OfferingBody"/>
              <w:jc w:val="center"/>
              <w:rPr>
                <w:rFonts w:ascii="Calibri" w:hAnsi="Calibri" w:cs="Calibri"/>
                <w:szCs w:val="16"/>
              </w:rPr>
            </w:pPr>
            <w:r>
              <w:rPr>
                <w:rFonts w:ascii="Calibri" w:hAnsi="Calibri" w:cs="Calibri"/>
                <w:szCs w:val="16"/>
              </w:rPr>
              <w:t>&lt; 99,9</w:t>
            </w:r>
            <w:r w:rsidR="0075676C">
              <w:rPr>
                <w:rFonts w:ascii="Calibri" w:hAnsi="Calibri" w:cs="Calibri"/>
                <w:szCs w:val="16"/>
              </w:rPr>
              <w:t>9</w:t>
            </w:r>
            <w:r>
              <w:rPr>
                <w:rFonts w:ascii="Calibri" w:hAnsi="Calibri" w:cs="Calibri"/>
                <w:szCs w:val="16"/>
              </w:rPr>
              <w:t>%</w:t>
            </w:r>
          </w:p>
        </w:tc>
        <w:tc>
          <w:tcPr>
            <w:tcW w:w="5400" w:type="dxa"/>
          </w:tcPr>
          <w:p w14:paraId="05E0C5C8"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10%</w:t>
            </w:r>
          </w:p>
        </w:tc>
      </w:tr>
      <w:tr w:rsidR="001C6B3E" w:rsidRPr="00E75915" w14:paraId="00E2EC4B" w14:textId="77777777" w:rsidTr="0078028E">
        <w:trPr>
          <w:trHeight w:val="245"/>
        </w:trPr>
        <w:tc>
          <w:tcPr>
            <w:tcW w:w="5400" w:type="dxa"/>
          </w:tcPr>
          <w:p w14:paraId="5ABDDF3C"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4129EFD7"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25%</w:t>
            </w:r>
          </w:p>
        </w:tc>
      </w:tr>
    </w:tbl>
    <w:p w14:paraId="1C8F9CEA" w14:textId="77777777" w:rsidR="001C6B3E" w:rsidRPr="00141067" w:rsidRDefault="001C6B3E" w:rsidP="001C6B3E">
      <w:pPr>
        <w:pStyle w:val="paragraph"/>
        <w:spacing w:before="120" w:beforeAutospacing="0" w:after="0" w:afterAutospacing="0"/>
        <w:textAlignment w:val="baseline"/>
        <w:rPr>
          <w:rFonts w:ascii="Calibri" w:hAnsi="Calibri" w:cs="Calibri"/>
          <w:sz w:val="18"/>
          <w:szCs w:val="18"/>
        </w:rPr>
      </w:pPr>
      <w:bookmarkStart w:id="168" w:name="_Hlk197960521"/>
      <w:bookmarkEnd w:id="167"/>
      <w:r>
        <w:rPr>
          <w:rStyle w:val="normaltextrun"/>
          <w:rFonts w:ascii="Calibri" w:eastAsiaTheme="majorEastAsia" w:hAnsi="Calibri" w:cs="Calibri"/>
          <w:b/>
          <w:bCs/>
          <w:color w:val="00188F"/>
          <w:sz w:val="18"/>
          <w:szCs w:val="18"/>
        </w:rPr>
        <w:t>Cálculo do Período de Disponibilidade e Níveis de Serviço para o Serviço Azure Managed Redis com Georreplicação Ativa</w:t>
      </w:r>
    </w:p>
    <w:p w14:paraId="4C83822B" w14:textId="77777777" w:rsidR="001C6B3E" w:rsidRPr="00141067"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“Máximo de Minutos Disponíveis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designa o número total de minutos para uma determinada instância do Azure Managed Redis implementada pelo Cliente numa subscrição do Microsoft Azure durante um Período Aplicável.</w:t>
      </w:r>
    </w:p>
    <w:p w14:paraId="6C2583B2" w14:textId="77777777" w:rsidR="001C6B3E" w:rsidRPr="00141067"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“Grupo de Georreplicação” </w:t>
      </w:r>
      <w:r>
        <w:rPr>
          <w:rStyle w:val="normaltextrun"/>
          <w:rFonts w:ascii="Calibri" w:eastAsiaTheme="majorEastAsia" w:hAnsi="Calibri" w:cs="Calibri"/>
          <w:sz w:val="18"/>
          <w:szCs w:val="18"/>
        </w:rPr>
        <w:t xml:space="preserve">é uma configuração de agrupamento lógico de instâncias do Azure Managed Redis que sincronizam dados entre si. </w:t>
      </w:r>
    </w:p>
    <w:p w14:paraId="763A448A" w14:textId="77777777" w:rsidR="001C6B3E" w:rsidRPr="00141067"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“Período de Indisponibilidade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designa o número total de minutos dentro do Máximo de Minutos Disponíveis durante os quais nenhum dos pontos de extremidade do Azure Managed Redis associados ao grupo de replicação geográfica está disponível. Um minuto é considerado indisponível para um determinado grupo de georreplicação quando não existe qualquer conectividade ao longo do minuto entre qualquer um dos Pontos Finais do Azure Managed Redis para as instâncias do Azure Managed Redis associadas ao grupo de georreplicação e o gateway da Internet </w:t>
      </w:r>
      <w:r>
        <w:rPr>
          <w:rStyle w:val="normaltextrun"/>
          <w:rFonts w:ascii="Calibri" w:eastAsiaTheme="majorEastAsia" w:hAnsi="Calibri" w:cs="Calibri"/>
          <w:sz w:val="18"/>
          <w:szCs w:val="18"/>
        </w:rPr>
        <w:lastRenderedPageBreak/>
        <w:t>da Microsoft, e o Cliente não iniciou quaisquer funcionalidades do produto ou ações de gestão que estejam documentadas para produzir indisponibilidade temporária.</w:t>
      </w:r>
    </w:p>
    <w:p w14:paraId="34644C28" w14:textId="77777777" w:rsidR="001C6B3E" w:rsidRPr="00141067" w:rsidRDefault="001C6B3E" w:rsidP="001C6B3E">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Percentagem de Período de Disponibilidade</w:t>
      </w:r>
      <w:r w:rsidRPr="00944399">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 Percentagem de Período de Disponibilidade é calculada através da seguinte fórmula:</w:t>
      </w:r>
    </w:p>
    <w:bookmarkEnd w:id="168"/>
    <w:p w14:paraId="06CA7546" w14:textId="77777777" w:rsidR="001C6B3E" w:rsidRPr="00DE77A8" w:rsidRDefault="00000000" w:rsidP="001C6B3E">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01B0A2" w14:textId="77777777" w:rsidR="001C6B3E" w:rsidRPr="00482B02" w:rsidRDefault="001C6B3E" w:rsidP="001C6B3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Os seguintes Níveis de Serviço e Créditos de serviço são aplicáveis à utilização pelo Cliente das camadas Otimizada para Memória, Equilibrada, Otimizada para Computação do Azure Managed Redis que suportam a Georreplicação Ativa e estão configuradas para pelo menos três instâncias do Azure Managed Redis serem implementadas em pelo menos três regiões, e são ligadas através da Georreplicação Ativa, e cada implementação também está a utilizar o modo Elevada Disponibilidade e a Redundância de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6B3E" w:rsidRPr="00EF7CF9" w14:paraId="1359A1B0" w14:textId="77777777" w:rsidTr="0078028E">
        <w:trPr>
          <w:trHeight w:val="245"/>
          <w:tblHeader/>
        </w:trPr>
        <w:tc>
          <w:tcPr>
            <w:tcW w:w="5400" w:type="dxa"/>
            <w:shd w:val="clear" w:color="auto" w:fill="0072C6"/>
          </w:tcPr>
          <w:p w14:paraId="7BE20526" w14:textId="77777777" w:rsidR="001C6B3E" w:rsidRPr="008B762B"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28EC7BE4" w14:textId="77777777" w:rsidR="001C6B3E" w:rsidRPr="008B762B"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1C6B3E" w:rsidRPr="00EF7CF9" w14:paraId="4DB1255A" w14:textId="77777777" w:rsidTr="0078028E">
        <w:trPr>
          <w:trHeight w:val="245"/>
        </w:trPr>
        <w:tc>
          <w:tcPr>
            <w:tcW w:w="5400" w:type="dxa"/>
          </w:tcPr>
          <w:p w14:paraId="709C97D4" w14:textId="77777777" w:rsidR="001C6B3E" w:rsidRPr="008B762B" w:rsidRDefault="001C6B3E" w:rsidP="0078028E">
            <w:pPr>
              <w:pStyle w:val="ProductList-OfferingBody"/>
              <w:jc w:val="center"/>
              <w:rPr>
                <w:rFonts w:ascii="Calibri" w:hAnsi="Calibri" w:cs="Calibri"/>
                <w:szCs w:val="16"/>
              </w:rPr>
            </w:pPr>
            <w:r>
              <w:rPr>
                <w:rFonts w:ascii="Calibri" w:hAnsi="Calibri" w:cs="Calibri"/>
                <w:szCs w:val="16"/>
              </w:rPr>
              <w:t>&lt; 99,999%</w:t>
            </w:r>
          </w:p>
        </w:tc>
        <w:tc>
          <w:tcPr>
            <w:tcW w:w="5400" w:type="dxa"/>
          </w:tcPr>
          <w:p w14:paraId="42799760" w14:textId="77777777" w:rsidR="001C6B3E" w:rsidRPr="008B762B" w:rsidRDefault="001C6B3E" w:rsidP="0078028E">
            <w:pPr>
              <w:pStyle w:val="ProductList-OfferingBody"/>
              <w:jc w:val="center"/>
              <w:rPr>
                <w:rFonts w:ascii="Calibri" w:hAnsi="Calibri" w:cs="Calibri"/>
                <w:szCs w:val="16"/>
              </w:rPr>
            </w:pPr>
            <w:r>
              <w:rPr>
                <w:rFonts w:ascii="Calibri" w:hAnsi="Calibri" w:cs="Calibri"/>
                <w:szCs w:val="16"/>
              </w:rPr>
              <w:t>10%</w:t>
            </w:r>
          </w:p>
        </w:tc>
      </w:tr>
      <w:tr w:rsidR="001C6B3E" w:rsidRPr="00EF7CF9" w14:paraId="2D3FAF14" w14:textId="77777777" w:rsidTr="0078028E">
        <w:trPr>
          <w:trHeight w:val="245"/>
        </w:trPr>
        <w:tc>
          <w:tcPr>
            <w:tcW w:w="5400" w:type="dxa"/>
          </w:tcPr>
          <w:p w14:paraId="1FF2C19E" w14:textId="77777777" w:rsidR="001C6B3E" w:rsidRPr="008B762B" w:rsidRDefault="001C6B3E"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3EFA8EA9" w14:textId="77777777" w:rsidR="001C6B3E" w:rsidRPr="008B762B" w:rsidRDefault="001C6B3E" w:rsidP="0078028E">
            <w:pPr>
              <w:pStyle w:val="ProductList-OfferingBody"/>
              <w:jc w:val="center"/>
              <w:rPr>
                <w:rFonts w:ascii="Calibri" w:hAnsi="Calibri" w:cs="Calibri"/>
                <w:szCs w:val="16"/>
              </w:rPr>
            </w:pPr>
            <w:r>
              <w:rPr>
                <w:rFonts w:ascii="Calibri" w:hAnsi="Calibri" w:cs="Calibri"/>
                <w:szCs w:val="16"/>
              </w:rPr>
              <w:t>25%</w:t>
            </w:r>
          </w:p>
        </w:tc>
      </w:tr>
    </w:tbl>
    <w:p w14:paraId="7B3FE182" w14:textId="77777777" w:rsidR="001C6B3E" w:rsidRPr="00BA6F19" w:rsidRDefault="001C6B3E" w:rsidP="001C6B3E">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06419031" w14:textId="5EEFF456" w:rsidR="001B020C" w:rsidRDefault="00D632AD" w:rsidP="00F01ED6">
      <w:pPr>
        <w:pStyle w:val="ProductList-Offering2Heading"/>
        <w:keepNext/>
        <w:tabs>
          <w:tab w:val="clear" w:pos="360"/>
          <w:tab w:val="clear" w:pos="720"/>
          <w:tab w:val="clear" w:pos="1080"/>
        </w:tabs>
        <w:outlineLvl w:val="2"/>
      </w:pPr>
      <w:bookmarkStart w:id="169" w:name="_Toc214456779"/>
      <w:r>
        <w:t>Azure Chaos Studio</w:t>
      </w:r>
      <w:bookmarkEnd w:id="169"/>
    </w:p>
    <w:p w14:paraId="2B47694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“Minutos de Ação”</w:t>
      </w:r>
      <w:r>
        <w:rPr>
          <w:rFonts w:ascii="Calibri" w:eastAsia="Calibri" w:hAnsi="Calibri" w:cs="Arial"/>
          <w:sz w:val="18"/>
          <w:bdr w:val="none" w:sz="0" w:space="0" w:color="auto" w:frame="1"/>
        </w:rPr>
        <w:t> designa o número total de minutos durante os quais uma determinada experiência do Azure Chaos Studio aplica uma ação sobre um recurso de destino no Microsoft Azure durante um Período Aplicável. Os Minutos de Ação são medidos a partir do momento em que uma experiência inicia uma ação até ao momento em que a ação foi executada durante a duração pré-configurada ou é terminada. Uma experiência pode ser composta por uma ou mais ações executadas sequencialmente ou em simultâneo.</w:t>
      </w:r>
    </w:p>
    <w:p w14:paraId="6D9E13D1"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 de Minutos de Ação”</w:t>
      </w:r>
      <w:r>
        <w:rPr>
          <w:rFonts w:ascii="Calibri" w:eastAsia="Calibri" w:hAnsi="Calibri" w:cs="Arial"/>
          <w:sz w:val="18"/>
          <w:bdr w:val="none" w:sz="0" w:space="0" w:color="auto" w:frame="1"/>
        </w:rPr>
        <w:t> designa a soma de todos os Minutos de Ação numa determinada subscrição do Microsoft Azure durante um Período Aplicável.</w:t>
      </w:r>
    </w:p>
    <w:p w14:paraId="646B290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sidRPr="005D3F2F">
        <w:rPr>
          <w:rFonts w:ascii="Calibri" w:eastAsia="Calibri" w:hAnsi="Calibri" w:cs="Arial"/>
          <w:sz w:val="18"/>
          <w:bdr w:val="none" w:sz="0" w:space="0" w:color="auto" w:frame="1"/>
        </w:rPr>
        <w:t xml:space="preserve">O </w:t>
      </w:r>
      <w:r>
        <w:rPr>
          <w:rFonts w:ascii="Calibri" w:eastAsia="Calibri" w:hAnsi="Calibri" w:cs="Arial"/>
          <w:b/>
          <w:bCs/>
          <w:color w:val="00188F"/>
          <w:sz w:val="18"/>
          <w:bdr w:val="none" w:sz="0" w:space="0" w:color="auto" w:frame="1"/>
        </w:rPr>
        <w:t>“Período de Indisponibilidade”</w:t>
      </w:r>
      <w:r>
        <w:rPr>
          <w:rFonts w:ascii="Calibri" w:eastAsia="Calibri" w:hAnsi="Calibri" w:cs="Arial"/>
          <w:sz w:val="18"/>
          <w:bdr w:val="none" w:sz="0" w:space="0" w:color="auto" w:frame="1"/>
        </w:rPr>
        <w:t> é avaliado em intervalos de 1 minuto para cada ação que esteja ativa e é a soma de todos os Minutos de Ação numa determinada subscrição do Microsoft Azure durante um Período Aplicável, durante o qual o Chaos Studio está indisponível. Um minuto para uma determinada experiência é considerado indisponível se dentro desse intervalo de 1 minuto pelo menos um pedido de paragem dessa experiência processado pelo Chaos Studio devolve um erro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Se não for processado qualquer pedido de paragem da experiência pelo Chaos Studio durante um determinado intervalo de 1 minuto, o Período de Indisponibilidade para o intervalo é assumido como 0 minutos.</w:t>
      </w:r>
    </w:p>
    <w:p w14:paraId="7E117476"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“Percentagem de Período de Disponibilidade”:</w:t>
      </w:r>
      <w:r>
        <w:rPr>
          <w:rFonts w:ascii="Calibri" w:eastAsia="Calibri" w:hAnsi="Calibri" w:cs="Arial"/>
          <w:sz w:val="18"/>
          <w:bdr w:val="none" w:sz="0" w:space="0" w:color="auto" w:frame="1"/>
        </w:rPr>
        <w:t> a Percentagem de Período de Disponibilidade é calculada com a seguinte fórmula:</w:t>
      </w:r>
    </w:p>
    <w:p w14:paraId="6E02C5CC" w14:textId="77777777" w:rsidR="009E7EBB" w:rsidRPr="00BA6F19" w:rsidRDefault="00000000" w:rsidP="00A53646">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Minutos de Ação — Período de Indisponibilidade</m:t>
              </m:r>
            </m:num>
            <m:den>
              <m:r>
                <m:rPr>
                  <m:nor/>
                </m:rPr>
                <w:rPr>
                  <w:rFonts w:ascii="Cambria Math" w:eastAsia="Calibri" w:hAnsi="Cambria Math" w:cs="Tahoma"/>
                  <w:i/>
                  <w:sz w:val="18"/>
                  <w:szCs w:val="18"/>
                </w:rPr>
                <m:t>Total de Minutos de Ação</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B6B191E" w14:textId="34B12F5F" w:rsidR="009E7EBB" w:rsidRPr="009E7EBB" w:rsidRDefault="009E7EBB" w:rsidP="00E563FF">
      <w:pPr>
        <w:keepNext/>
        <w:tabs>
          <w:tab w:val="left" w:pos="360"/>
          <w:tab w:val="left" w:pos="720"/>
          <w:tab w:val="left" w:pos="1080"/>
        </w:tabs>
        <w:spacing w:after="0" w:line="240" w:lineRule="auto"/>
        <w:rPr>
          <w:b/>
          <w:color w:val="00188F"/>
          <w:sz w:val="18"/>
        </w:rPr>
      </w:pPr>
      <w:r w:rsidRPr="009E7EBB">
        <w:rPr>
          <w:b/>
          <w:color w:val="00188F"/>
          <w:sz w:val="18"/>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E7EBB" w:rsidRPr="00BA6F19" w14:paraId="7B8A1A58" w14:textId="77777777" w:rsidTr="00995E56">
        <w:trPr>
          <w:tblHeader/>
        </w:trPr>
        <w:tc>
          <w:tcPr>
            <w:tcW w:w="5400" w:type="dxa"/>
            <w:shd w:val="clear" w:color="auto" w:fill="0072C6"/>
          </w:tcPr>
          <w:p w14:paraId="56AF9766"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294FF581"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9E7EBB" w:rsidRPr="00BA6F19" w14:paraId="4A8E6046" w14:textId="77777777" w:rsidTr="00995E56">
        <w:tc>
          <w:tcPr>
            <w:tcW w:w="5400" w:type="dxa"/>
          </w:tcPr>
          <w:p w14:paraId="7C21A2EB"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1740270"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E7EBB" w:rsidRPr="00BA6F19" w14:paraId="3F6B2C60" w14:textId="77777777" w:rsidTr="00995E56">
        <w:tc>
          <w:tcPr>
            <w:tcW w:w="5400" w:type="dxa"/>
          </w:tcPr>
          <w:p w14:paraId="5310323F"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F648C68"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D923A5E" w14:textId="77777777" w:rsidR="009E7EBB" w:rsidRPr="00BA6F19" w:rsidRDefault="009E7EBB" w:rsidP="009E7EBB">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054B0A8F" w14:textId="77777777" w:rsidR="00C25664" w:rsidRPr="002D026F" w:rsidRDefault="00C25664" w:rsidP="00C25664">
      <w:pPr>
        <w:pStyle w:val="ProductList-Offering2Heading"/>
        <w:tabs>
          <w:tab w:val="clear" w:pos="360"/>
          <w:tab w:val="clear" w:pos="720"/>
          <w:tab w:val="clear" w:pos="1080"/>
        </w:tabs>
        <w:outlineLvl w:val="2"/>
        <w:rPr>
          <w:rFonts w:ascii="Calibri Light" w:hAnsi="Calibri Light" w:cs="Calibri Light"/>
        </w:rPr>
      </w:pPr>
      <w:bookmarkStart w:id="170" w:name="_Toc214456780"/>
      <w:r>
        <w:rPr>
          <w:rFonts w:ascii="Calibri Light" w:hAnsi="Calibri Light" w:cs="Calibri Light"/>
        </w:rPr>
        <w:t>Cloud MSH do Azure</w:t>
      </w:r>
      <w:bookmarkEnd w:id="170"/>
    </w:p>
    <w:p w14:paraId="2AE0BBB5" w14:textId="77777777" w:rsidR="00C25664" w:rsidRPr="002D026F" w:rsidRDefault="00C25664" w:rsidP="00C25664">
      <w:pPr>
        <w:pStyle w:val="ProductList-Body"/>
        <w:rPr>
          <w:rFonts w:ascii="Calibri" w:hAnsi="Calibri" w:cs="Calibri"/>
          <w:b/>
          <w:bCs/>
          <w:color w:val="00188F"/>
        </w:rPr>
      </w:pPr>
      <w:r>
        <w:rPr>
          <w:rFonts w:ascii="Calibri" w:hAnsi="Calibri" w:cs="Calibri"/>
          <w:b/>
          <w:bCs/>
          <w:color w:val="00188F"/>
        </w:rPr>
        <w:t>Cálculo do Período de Disponibilidade e Níveis de Serviço para o Cloud MSH</w:t>
      </w:r>
    </w:p>
    <w:p w14:paraId="0A8DEB98" w14:textId="77777777" w:rsidR="00C25664" w:rsidRPr="002D026F" w:rsidRDefault="00C25664" w:rsidP="00C25664">
      <w:pPr>
        <w:pStyle w:val="ProductList-Body"/>
        <w:rPr>
          <w:rFonts w:ascii="Calibri" w:hAnsi="Calibri" w:cs="Calibri"/>
        </w:rPr>
      </w:pPr>
      <w:r>
        <w:rPr>
          <w:rFonts w:ascii="Calibri" w:hAnsi="Calibri" w:cs="Calibri"/>
        </w:rPr>
        <w:t>“</w:t>
      </w:r>
      <w:r>
        <w:rPr>
          <w:rFonts w:ascii="Calibri" w:hAnsi="Calibri" w:cs="Calibri"/>
          <w:b/>
          <w:bCs/>
          <w:color w:val="00188F"/>
        </w:rPr>
        <w:t>Minutos de Implementação</w:t>
      </w:r>
      <w:r>
        <w:rPr>
          <w:rFonts w:ascii="Calibri" w:hAnsi="Calibri" w:cs="Calibri"/>
        </w:rPr>
        <w:t xml:space="preserve">” designa o número total de minutos durante os quais um determinado Cloud MSH gerido foi implementada no Microsoft Azure durante um Período Aplicável. </w:t>
      </w:r>
    </w:p>
    <w:p w14:paraId="0193DBB9" w14:textId="77777777" w:rsidR="00C25664" w:rsidRPr="002D026F" w:rsidRDefault="00C25664" w:rsidP="00C25664">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a soma de todos os Minutos de Implementação em todos os Cloud MSH implementados pelo Cliente numa determinada subscrição do Microsoft Azure durante um Período Aplicável.</w:t>
      </w:r>
    </w:p>
    <w:p w14:paraId="2060EFD9" w14:textId="77777777" w:rsidR="00C25664" w:rsidRPr="002D026F" w:rsidRDefault="00C25664" w:rsidP="00C25664">
      <w:pPr>
        <w:pStyle w:val="ProductList-Body"/>
        <w:rPr>
          <w:rFonts w:ascii="Calibri" w:hAnsi="Calibri" w:cs="Calibri"/>
        </w:rPr>
      </w:pPr>
      <w:r>
        <w:rPr>
          <w:rFonts w:ascii="Calibri" w:hAnsi="Calibri" w:cs="Calibri"/>
        </w:rPr>
        <w:t>“</w:t>
      </w:r>
      <w:r>
        <w:rPr>
          <w:rFonts w:ascii="Calibri" w:hAnsi="Calibri" w:cs="Calibri"/>
          <w:b/>
          <w:bCs/>
          <w:color w:val="00188F"/>
        </w:rPr>
        <w:t>Transações Excluídas</w:t>
      </w:r>
      <w:r>
        <w:rPr>
          <w:rFonts w:ascii="Calibri" w:hAnsi="Calibri" w:cs="Calibri"/>
        </w:rPr>
        <w:t>” são transações para criar, atualizar ou eliminar Cloud MSH geridos, chaves, atribuições de funções, definições de funções e transferência/carregamento do domínio de segurança.</w:t>
      </w:r>
    </w:p>
    <w:p w14:paraId="41DE0EAE" w14:textId="77777777" w:rsidR="00C25664" w:rsidRPr="002D026F" w:rsidRDefault="00C25664" w:rsidP="00C25664">
      <w:pPr>
        <w:pStyle w:val="ProductList-Body"/>
        <w:rPr>
          <w:rFonts w:ascii="Calibri" w:hAnsi="Calibri" w:cs="Calibri"/>
        </w:rPr>
      </w:pPr>
      <w:r>
        <w:rPr>
          <w:rFonts w:ascii="Calibri" w:hAnsi="Calibri" w:cs="Calibri"/>
        </w:rPr>
        <w:t>“</w:t>
      </w:r>
      <w:r>
        <w:rPr>
          <w:rFonts w:ascii="Calibri" w:hAnsi="Calibri" w:cs="Calibri"/>
          <w:b/>
          <w:bCs/>
          <w:color w:val="00188F"/>
        </w:rPr>
        <w:t>Período de Indisponibilidade</w:t>
      </w:r>
      <w:r>
        <w:rPr>
          <w:rFonts w:ascii="Calibri" w:hAnsi="Calibri" w:cs="Calibri"/>
        </w:rPr>
        <w:t>” designa o total de Minutos de Implementação acumulados, em todos os Cloud MSH geridos implementados pelo Cliente numa determinada subscrição do Microsoft Azure, durante a qual o Cloud MSH gerido está indisponível. Um minuto é considerado indisponível para um determinado Cloud MSH se todas as tentativas contínuas para executar transações, que não Transações Excluídas, no Cloud MSH durante esse minuto devolverem um Código de Erro ou não resultarem num Código de Êxito num prazo de 5 segundos após a receção do pedido por parte da Microsoft.</w:t>
      </w:r>
    </w:p>
    <w:p w14:paraId="7EE60D0D" w14:textId="77777777" w:rsidR="00C25664" w:rsidRPr="002D026F" w:rsidRDefault="00C25664" w:rsidP="00C25664">
      <w:pPr>
        <w:pStyle w:val="ProductList-Body"/>
        <w:rPr>
          <w:rFonts w:ascii="Calibri" w:hAnsi="Calibri" w:cs="Calibri"/>
        </w:rPr>
      </w:pPr>
      <w:r w:rsidRPr="00FD0218">
        <w:rPr>
          <w:rFonts w:ascii="Calibri" w:hAnsi="Calibri" w:cs="Calibri"/>
        </w:rPr>
        <w:t xml:space="preserve">A </w:t>
      </w:r>
      <w:r>
        <w:rPr>
          <w:rFonts w:ascii="Calibri" w:hAnsi="Calibri" w:cs="Calibri"/>
        </w:rPr>
        <w:t>“</w:t>
      </w:r>
      <w:r>
        <w:rPr>
          <w:rFonts w:ascii="Calibri" w:hAnsi="Calibri" w:cs="Calibri"/>
          <w:b/>
          <w:bCs/>
          <w:color w:val="00188F"/>
        </w:rPr>
        <w:t>Percentagem de Período de Disponibilidade</w:t>
      </w:r>
      <w:r>
        <w:rPr>
          <w:rFonts w:ascii="Calibri" w:hAnsi="Calibri" w:cs="Calibri"/>
        </w:rPr>
        <w:t>” para o Serviço Cloud MSH é calculada como o Máximo de Minutos Disponíveis menos o Período de Indisponibilidade a dividir pelo Máximo de Minutos Disponíveis num Período Aplicável para uma determinada subscrição do Microsoft Azure.</w:t>
      </w:r>
    </w:p>
    <w:p w14:paraId="5A8F9A2A" w14:textId="77777777" w:rsidR="00C25664" w:rsidRPr="002D026F" w:rsidRDefault="00C25664" w:rsidP="00C25664">
      <w:pPr>
        <w:pStyle w:val="ProductList-Body"/>
        <w:rPr>
          <w:rFonts w:ascii="Calibri" w:hAnsi="Calibri" w:cs="Calibri"/>
        </w:rPr>
      </w:pPr>
      <w:r>
        <w:rPr>
          <w:rFonts w:ascii="Calibri" w:hAnsi="Calibri" w:cs="Calibri"/>
        </w:rPr>
        <w:t>A Percentagem de Período de Disponibilidade é representada pela seguinte fórmula:</w:t>
      </w:r>
    </w:p>
    <w:p w14:paraId="521A3392" w14:textId="77777777" w:rsidR="00C25664" w:rsidRPr="001E28FB" w:rsidRDefault="00000000" w:rsidP="00C25664">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393A9C" w14:textId="77777777" w:rsidR="00C25664" w:rsidRPr="002D026F" w:rsidRDefault="00C25664" w:rsidP="00C25664">
      <w:pPr>
        <w:pStyle w:val="ProductList-Body"/>
        <w:rPr>
          <w:rFonts w:ascii="Calibri" w:hAnsi="Calibri" w:cs="Calibri"/>
          <w:b/>
          <w:color w:val="00188F"/>
        </w:rPr>
      </w:pPr>
      <w:r>
        <w:rPr>
          <w:rFonts w:ascii="Calibri" w:hAnsi="Calibri" w:cs="Calibri"/>
          <w:b/>
          <w:color w:val="00188F"/>
        </w:rPr>
        <w:t>Os seguintes Níveis de Serviço e Créditos de Serviço são aplicáveis à utilização que o Cliente faz do Serviço Cloud MSH:</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5664" w:rsidRPr="00B44CF9" w14:paraId="454BE954" w14:textId="77777777" w:rsidTr="008367CC">
        <w:trPr>
          <w:tblHeader/>
        </w:trPr>
        <w:tc>
          <w:tcPr>
            <w:tcW w:w="5400" w:type="dxa"/>
            <w:shd w:val="clear" w:color="auto" w:fill="0072C6"/>
          </w:tcPr>
          <w:p w14:paraId="788A52F4" w14:textId="77777777" w:rsidR="00C25664" w:rsidRPr="002D026F" w:rsidRDefault="00C2566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6D9D4423" w14:textId="77777777" w:rsidR="00C25664" w:rsidRPr="002D026F" w:rsidRDefault="00C2566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C25664" w:rsidRPr="00B44CF9" w14:paraId="0A3FE221" w14:textId="77777777" w:rsidTr="008367CC">
        <w:trPr>
          <w:trHeight w:val="245"/>
        </w:trPr>
        <w:tc>
          <w:tcPr>
            <w:tcW w:w="5400" w:type="dxa"/>
          </w:tcPr>
          <w:p w14:paraId="0C4303AD" w14:textId="77777777" w:rsidR="00C25664" w:rsidRPr="002D026F" w:rsidRDefault="00C25664"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01F0B441" w14:textId="77777777" w:rsidR="00C25664" w:rsidRPr="002D026F" w:rsidRDefault="00C25664" w:rsidP="008367CC">
            <w:pPr>
              <w:pStyle w:val="ProductList-OfferingBody"/>
              <w:jc w:val="center"/>
              <w:rPr>
                <w:rFonts w:ascii="Calibri" w:hAnsi="Calibri" w:cs="Calibri"/>
                <w:szCs w:val="16"/>
              </w:rPr>
            </w:pPr>
            <w:r>
              <w:rPr>
                <w:rFonts w:ascii="Calibri" w:hAnsi="Calibri" w:cs="Calibri"/>
                <w:szCs w:val="16"/>
              </w:rPr>
              <w:t>10%</w:t>
            </w:r>
          </w:p>
        </w:tc>
      </w:tr>
      <w:tr w:rsidR="00C25664" w:rsidRPr="00B44CF9" w14:paraId="5F2BFC9D" w14:textId="77777777" w:rsidTr="008367CC">
        <w:trPr>
          <w:trHeight w:val="245"/>
        </w:trPr>
        <w:tc>
          <w:tcPr>
            <w:tcW w:w="5400" w:type="dxa"/>
          </w:tcPr>
          <w:p w14:paraId="4FD2CE87" w14:textId="77777777" w:rsidR="00C25664" w:rsidRPr="002D026F" w:rsidRDefault="00C25664"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6549E6E6" w14:textId="77777777" w:rsidR="00C25664" w:rsidRPr="002D026F" w:rsidRDefault="00C25664" w:rsidP="008367CC">
            <w:pPr>
              <w:pStyle w:val="ProductList-OfferingBody"/>
              <w:jc w:val="center"/>
              <w:rPr>
                <w:rFonts w:ascii="Calibri" w:hAnsi="Calibri" w:cs="Calibri"/>
                <w:szCs w:val="16"/>
              </w:rPr>
            </w:pPr>
            <w:r>
              <w:rPr>
                <w:rFonts w:ascii="Calibri" w:hAnsi="Calibri" w:cs="Calibri"/>
                <w:szCs w:val="16"/>
              </w:rPr>
              <w:t>25%</w:t>
            </w:r>
          </w:p>
        </w:tc>
      </w:tr>
    </w:tbl>
    <w:p w14:paraId="60962DF6" w14:textId="77777777" w:rsidR="005D3916" w:rsidRPr="00EF7CF9" w:rsidRDefault="005D3916" w:rsidP="005D39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91B251F" w14:textId="5DC8C0AA" w:rsidR="00FA4844" w:rsidRPr="00EF7CF9" w:rsidRDefault="00FA4844" w:rsidP="00F01ED6">
      <w:pPr>
        <w:pStyle w:val="ProductList-Offering2Heading"/>
        <w:keepNext/>
        <w:tabs>
          <w:tab w:val="clear" w:pos="360"/>
          <w:tab w:val="clear" w:pos="720"/>
          <w:tab w:val="clear" w:pos="1080"/>
        </w:tabs>
        <w:outlineLvl w:val="2"/>
      </w:pPr>
      <w:bookmarkStart w:id="171" w:name="_Toc214456781"/>
      <w:r>
        <w:t>Serviços em Nuvem</w:t>
      </w:r>
      <w:bookmarkEnd w:id="165"/>
      <w:bookmarkEnd w:id="171"/>
    </w:p>
    <w:p w14:paraId="616BD5A6" w14:textId="77777777" w:rsidR="00FA4844" w:rsidRPr="00EF7CF9" w:rsidRDefault="00FA4844" w:rsidP="00F01ED6">
      <w:pPr>
        <w:pStyle w:val="ProductList-Body"/>
        <w:rPr>
          <w:b/>
          <w:color w:val="00188F"/>
        </w:rPr>
      </w:pPr>
      <w:r>
        <w:rPr>
          <w:b/>
          <w:color w:val="00188F"/>
        </w:rPr>
        <w:t>Definições Adicionais</w:t>
      </w:r>
      <w:r w:rsidRPr="00473DD3">
        <w:rPr>
          <w:b/>
          <w:color w:val="00188F"/>
        </w:rPr>
        <w:t>:</w:t>
      </w:r>
    </w:p>
    <w:p w14:paraId="00F034C6" w14:textId="1EE95FF0" w:rsidR="00FA4844" w:rsidRPr="00EF7CF9" w:rsidRDefault="00380305" w:rsidP="00F01ED6">
      <w:pPr>
        <w:pStyle w:val="ProductList-Body"/>
      </w:pPr>
      <w:r>
        <w:t>“</w:t>
      </w:r>
      <w:r w:rsidR="00FA4844">
        <w:rPr>
          <w:b/>
          <w:color w:val="00188F"/>
        </w:rPr>
        <w:t>Serviços em Nuvem</w:t>
      </w:r>
      <w:r>
        <w:t>”</w:t>
      </w:r>
      <w:r w:rsidR="00FA4844">
        <w:t xml:space="preserve"> designa um conjunto de recursos informáticos utilizados para Funções de Trabalho e Web.</w:t>
      </w:r>
    </w:p>
    <w:p w14:paraId="1A253FE3" w14:textId="222D50A9" w:rsidR="00FA4844" w:rsidRPr="003D7974" w:rsidRDefault="00380305" w:rsidP="00F01ED6">
      <w:pPr>
        <w:pStyle w:val="ProductList-Body"/>
        <w:rPr>
          <w:spacing w:val="-2"/>
        </w:rPr>
      </w:pPr>
      <w:r>
        <w:rPr>
          <w:spacing w:val="-2"/>
        </w:rPr>
        <w:t>“</w:t>
      </w:r>
      <w:r w:rsidR="00FA4844" w:rsidRPr="003D7974">
        <w:rPr>
          <w:b/>
          <w:color w:val="00188F"/>
          <w:spacing w:val="-2"/>
        </w:rPr>
        <w:t>Conectividade da Instância da Função</w:t>
      </w:r>
      <w:r>
        <w:rPr>
          <w:spacing w:val="-2"/>
        </w:rPr>
        <w:t>”</w:t>
      </w:r>
      <w:r w:rsidR="00FA4844" w:rsidRPr="003D7974">
        <w:rPr>
          <w:spacing w:val="-2"/>
        </w:rP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2210A489" w14:textId="7AAD6FB9" w:rsidR="00FA4844" w:rsidRPr="00EF7CF9" w:rsidRDefault="00380305" w:rsidP="00F01ED6">
      <w:pPr>
        <w:pStyle w:val="ProductList-Body"/>
      </w:pPr>
      <w:r>
        <w:t>“</w:t>
      </w:r>
      <w:r w:rsidR="00FA4844">
        <w:rPr>
          <w:b/>
          <w:color w:val="00188F"/>
        </w:rPr>
        <w:t>Inquilino</w:t>
      </w:r>
      <w:r>
        <w:t>”</w:t>
      </w:r>
      <w:r w:rsidR="00FA4844">
        <w:t xml:space="preserve"> representa uma ou mais funções que são compostas cada uma por uma ou mais instâncias de função que são implementadas num único pacote.</w:t>
      </w:r>
    </w:p>
    <w:p w14:paraId="7384DC2B" w14:textId="5C290F27" w:rsidR="00FA4844" w:rsidRPr="003D7974" w:rsidRDefault="00380305" w:rsidP="00F01ED6">
      <w:pPr>
        <w:pStyle w:val="ProductList-Body"/>
        <w:rPr>
          <w:spacing w:val="-3"/>
        </w:rPr>
      </w:pPr>
      <w:r>
        <w:rPr>
          <w:spacing w:val="-3"/>
        </w:rPr>
        <w:t>“</w:t>
      </w:r>
      <w:r w:rsidR="00FA4844" w:rsidRPr="003D7974">
        <w:rPr>
          <w:b/>
          <w:color w:val="00188F"/>
          <w:spacing w:val="-3"/>
        </w:rPr>
        <w:t>Domínio de Atualização</w:t>
      </w:r>
      <w:r>
        <w:rPr>
          <w:spacing w:val="-3"/>
        </w:rPr>
        <w:t>”</w:t>
      </w:r>
      <w:r w:rsidR="00FA4844" w:rsidRPr="003D7974">
        <w:rPr>
          <w:spacing w:val="-3"/>
        </w:rPr>
        <w:t xml:space="preserve"> designa um conjunto de instâncias do Microsoft Azure às quais as atualizações de plataforma são aplicadas simultaneamente.</w:t>
      </w:r>
    </w:p>
    <w:p w14:paraId="4AFF4F40" w14:textId="2D3BC7F1" w:rsidR="00FA4844" w:rsidRPr="00EF7CF9" w:rsidRDefault="00380305" w:rsidP="00F01ED6">
      <w:pPr>
        <w:pStyle w:val="ProductList-Body"/>
      </w:pPr>
      <w:r>
        <w:t>“</w:t>
      </w:r>
      <w:r w:rsidR="00FA4844">
        <w:rPr>
          <w:b/>
          <w:color w:val="00188F"/>
        </w:rPr>
        <w:t>Função Web</w:t>
      </w:r>
      <w:r>
        <w:t>”</w:t>
      </w:r>
      <w:r w:rsidR="00FA4844">
        <w:t xml:space="preserve"> é um componente dos Serviços em Nuvem em execução no ambiente de execução do Azure que é personalizado para a</w:t>
      </w:r>
      <w:r w:rsidR="003D7974">
        <w:t> </w:t>
      </w:r>
      <w:r w:rsidR="00FA4844">
        <w:t>programação de aplicações Web tal como suportado pelo IIS e ASP.NET.</w:t>
      </w:r>
    </w:p>
    <w:p w14:paraId="3F902297" w14:textId="2DAC0A52" w:rsidR="00FA4844" w:rsidRPr="00EF7CF9" w:rsidRDefault="00380305" w:rsidP="00F01ED6">
      <w:pPr>
        <w:pStyle w:val="ProductList-Body"/>
      </w:pPr>
      <w:r>
        <w:t>“</w:t>
      </w:r>
      <w:r w:rsidR="00FA4844">
        <w:rPr>
          <w:b/>
          <w:color w:val="00188F"/>
        </w:rPr>
        <w:t>Função de Trabalho</w:t>
      </w:r>
      <w:r>
        <w:t>”</w:t>
      </w:r>
      <w:r w:rsidR="00FA4844">
        <w:rPr>
          <w:b/>
          <w:color w:val="00188F"/>
        </w:rPr>
        <w:t xml:space="preserve"> </w:t>
      </w:r>
      <w:r w:rsidR="00FA4844">
        <w:t>é um componente dos Serviços em Nuvem em execução no ambiente de execução do Azure que é útil para o</w:t>
      </w:r>
      <w:r w:rsidR="003D7974">
        <w:t> </w:t>
      </w:r>
      <w:r w:rsidR="00FA4844">
        <w:t>desenvolvimento generalizado e pode executar um processamento de fundo para uma Função Web.</w:t>
      </w:r>
    </w:p>
    <w:p w14:paraId="6B4E981E" w14:textId="4AAE9CA8" w:rsidR="00FA4844" w:rsidRPr="00ED4527" w:rsidRDefault="00EE6E3C" w:rsidP="00F01ED6">
      <w:pPr>
        <w:pStyle w:val="ProductList-Body"/>
        <w:spacing w:before="120"/>
        <w:rPr>
          <w:b/>
          <w:bCs/>
          <w:color w:val="00188F"/>
        </w:rPr>
      </w:pPr>
      <w:r>
        <w:rPr>
          <w:b/>
          <w:bCs/>
          <w:color w:val="00188F"/>
        </w:rPr>
        <w:t>Cálculo do Período de Disponibilidade e Níveis de Serviço para os Serviços em Nuvem</w:t>
      </w:r>
    </w:p>
    <w:p w14:paraId="412EA3FF" w14:textId="4F2CA56F" w:rsidR="00FA4844" w:rsidRPr="00EF7CF9" w:rsidRDefault="00380305" w:rsidP="00F01ED6">
      <w:pPr>
        <w:pStyle w:val="ProductList-Body"/>
      </w:pPr>
      <w:r>
        <w:t>“</w:t>
      </w:r>
      <w:r w:rsidR="00FA4844">
        <w:rPr>
          <w:b/>
          <w:color w:val="00188F"/>
        </w:rPr>
        <w:t>Máximo de Minutos Disponíveis</w:t>
      </w:r>
      <w:r>
        <w:t>”</w:t>
      </w:r>
      <w:r w:rsidR="00FA4844">
        <w:t xml:space="preserve"> é o total de minutos acumulados durante um Período Aplicável para todas as funções com interface para a</w:t>
      </w:r>
      <w:r w:rsidR="00003FD2">
        <w:t> </w:t>
      </w:r>
      <w:r w:rsidR="00FA4844">
        <w:t>Internet que tenham duas ou mais instâncias implementadas em diferentes Domínios de Atualização. O Máximo de Minutos Disponíveis é</w:t>
      </w:r>
      <w:r w:rsidR="00003FD2">
        <w:t> </w:t>
      </w:r>
      <w:r w:rsidR="00FA4844">
        <w:t>calculado a partir do momento em que o Inquilino foi implementado e as respetivas funções associadas foram iniciadas como resultado da ação</w:t>
      </w:r>
      <w:r w:rsidR="00003FD2">
        <w:t> </w:t>
      </w:r>
      <w:r w:rsidR="00FA4844">
        <w:t>iniciada pelo Cliente até ao momento em que o Cliente iniciou uma ação que resultaria na interrupção ou eliminação do Inquilino.</w:t>
      </w:r>
    </w:p>
    <w:p w14:paraId="35563319" w14:textId="77777777" w:rsidR="00FA4844" w:rsidRPr="00EF7CF9" w:rsidRDefault="00FA4844" w:rsidP="00F01ED6">
      <w:pPr>
        <w:pStyle w:val="ProductList-Body"/>
      </w:pPr>
      <w:r>
        <w:rPr>
          <w:b/>
          <w:color w:val="00188F"/>
        </w:rPr>
        <w:t>Período de Indisponibilidade</w:t>
      </w:r>
      <w:r w:rsidRPr="00473DD3">
        <w:rPr>
          <w:b/>
          <w:color w:val="00188F"/>
        </w:rPr>
        <w:t>:</w:t>
      </w:r>
      <w:r>
        <w:t xml:space="preserve"> O total de minutos acumulados que fazem parte do Máximo de Minutos Disponíveis sem Conectividade da Instância da Função.</w:t>
      </w:r>
    </w:p>
    <w:p w14:paraId="46F3082B" w14:textId="3E1C36D7" w:rsidR="00FA484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representada pela seguinte fórmula:</w:t>
      </w:r>
    </w:p>
    <w:p w14:paraId="692CB9D4" w14:textId="3F0D6016" w:rsidR="00FA4844" w:rsidRPr="00EF7CF9" w:rsidRDefault="003D7974" w:rsidP="00A53646">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A8F94D" w14:textId="77777777" w:rsidR="00FA4844" w:rsidRPr="00EF7CF9" w:rsidRDefault="00FA4844" w:rsidP="00F01ED6">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277097">
        <w:tc>
          <w:tcPr>
            <w:tcW w:w="5400" w:type="dxa"/>
          </w:tcPr>
          <w:p w14:paraId="5EDF52EC" w14:textId="77777777" w:rsidR="00FA4844" w:rsidRPr="00EF7CF9" w:rsidRDefault="00FA4844" w:rsidP="00F01ED6">
            <w:pPr>
              <w:pStyle w:val="ProductList-OfferingBody"/>
              <w:jc w:val="center"/>
            </w:pPr>
            <w:r>
              <w:t>&lt; 99,95%</w:t>
            </w:r>
          </w:p>
        </w:tc>
        <w:tc>
          <w:tcPr>
            <w:tcW w:w="5400" w:type="dxa"/>
          </w:tcPr>
          <w:p w14:paraId="387D0A57" w14:textId="77777777" w:rsidR="00FA4844" w:rsidRPr="00EF7CF9" w:rsidRDefault="00FA4844" w:rsidP="00F01ED6">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F01ED6">
            <w:pPr>
              <w:pStyle w:val="ProductList-OfferingBody"/>
              <w:keepNext/>
              <w:jc w:val="center"/>
            </w:pPr>
            <w:r>
              <w:t>&lt; 99%</w:t>
            </w:r>
          </w:p>
        </w:tc>
        <w:tc>
          <w:tcPr>
            <w:tcW w:w="5400" w:type="dxa"/>
          </w:tcPr>
          <w:p w14:paraId="4BE2C332" w14:textId="77777777" w:rsidR="00FA4844" w:rsidRPr="00EF7CF9" w:rsidRDefault="00FA4844" w:rsidP="00F01ED6">
            <w:pPr>
              <w:pStyle w:val="ProductList-OfferingBody"/>
              <w:jc w:val="center"/>
            </w:pPr>
            <w:r>
              <w:t>25%</w:t>
            </w:r>
          </w:p>
        </w:tc>
      </w:tr>
    </w:tbl>
    <w:bookmarkStart w:id="172" w:name="_Toc52348980"/>
    <w:p w14:paraId="288F221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AE841E" w14:textId="46056045" w:rsidR="00014752" w:rsidRPr="00EF7CF9" w:rsidRDefault="00014752" w:rsidP="00F01ED6">
      <w:pPr>
        <w:pStyle w:val="ProductList-Offering2Heading"/>
        <w:keepNext/>
        <w:tabs>
          <w:tab w:val="clear" w:pos="360"/>
          <w:tab w:val="clear" w:pos="720"/>
          <w:tab w:val="clear" w:pos="1080"/>
        </w:tabs>
        <w:outlineLvl w:val="2"/>
      </w:pPr>
      <w:bookmarkStart w:id="173" w:name="_Toc214456782"/>
      <w:r>
        <w:t xml:space="preserve">Azure </w:t>
      </w:r>
      <w:r w:rsidR="009E7EBB">
        <w:t>AI</w:t>
      </w:r>
      <w:r>
        <w:t xml:space="preserve"> Search</w:t>
      </w:r>
      <w:bookmarkEnd w:id="172"/>
      <w:bookmarkEnd w:id="173"/>
    </w:p>
    <w:p w14:paraId="6A0F4491" w14:textId="77777777" w:rsidR="00014752" w:rsidRPr="00EF7CF9" w:rsidRDefault="00014752" w:rsidP="00F01ED6">
      <w:pPr>
        <w:pStyle w:val="ProductList-Body"/>
      </w:pPr>
      <w:r>
        <w:rPr>
          <w:b/>
          <w:color w:val="00188F"/>
        </w:rPr>
        <w:t>Definições Adicionais</w:t>
      </w:r>
      <w:r w:rsidRPr="00473DD3">
        <w:rPr>
          <w:b/>
          <w:color w:val="00188F"/>
        </w:rPr>
        <w:t>:</w:t>
      </w:r>
    </w:p>
    <w:p w14:paraId="5CE35F32" w14:textId="77777777" w:rsidR="00D7240E" w:rsidRPr="00D47D14" w:rsidRDefault="00D7240E" w:rsidP="00D7240E">
      <w:pPr>
        <w:pStyle w:val="ProductList-Body"/>
        <w:rPr>
          <w:rFonts w:ascii="Calibri" w:hAnsi="Calibri" w:cs="Calibri"/>
        </w:rPr>
      </w:pPr>
      <w:r w:rsidRPr="00D47D14">
        <w:rPr>
          <w:rFonts w:ascii="Calibri" w:hAnsi="Calibri" w:cs="Calibri"/>
        </w:rPr>
        <w:t>A “</w:t>
      </w:r>
      <w:r w:rsidRPr="00D47D14">
        <w:rPr>
          <w:rFonts w:ascii="Calibri" w:hAnsi="Calibri" w:cs="Calibri"/>
          <w:b/>
          <w:color w:val="00188F"/>
        </w:rPr>
        <w:t>Taxa Média de Erros</w:t>
      </w:r>
      <w:r w:rsidRPr="00D47D14">
        <w:rPr>
          <w:rFonts w:ascii="Calibri" w:hAnsi="Calibri" w:cs="Calibri"/>
        </w:rPr>
        <w:t>” para um Período Aplicável designa a soma das Taxas de Erros para cada hora no Período Aplicável a dividir pelo número total de horas no Período Aplicável.</w:t>
      </w:r>
    </w:p>
    <w:p w14:paraId="19C7D742"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Taxa de Erros</w:t>
      </w:r>
      <w:r w:rsidRPr="00D47D14">
        <w:rPr>
          <w:rFonts w:ascii="Calibri" w:hAnsi="Calibri" w:cs="Calibri"/>
        </w:rPr>
        <w:t>” designa o número total de Pedidos com Falha dividido pelo Total de Pedidos, para um Serviço de Pesquisa, durante um determinado intervalo de uma hora. Se o Total de Pedidos num intervalo de uma hora for zero, o Total de Erros para esse intervalo é 0%.</w:t>
      </w:r>
    </w:p>
    <w:p w14:paraId="2299CD81"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Pedidos Excluídos</w:t>
      </w:r>
      <w:r w:rsidRPr="00D47D14">
        <w:rPr>
          <w:rFonts w:ascii="Calibri" w:hAnsi="Calibri" w:cs="Calibri"/>
        </w:rPr>
        <w:t>” são todos os pedidos limitados devido por se terem esgotado os recursos atribuídos a uma Instância do Serviço de Pesquisa, consoante indicado por um código de estado HTTP 503 e um cabeçalho de resposta a indicar que o pedido foi limitado.</w:t>
      </w:r>
    </w:p>
    <w:p w14:paraId="016D8F21"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Pedidos com Falha</w:t>
      </w:r>
      <w:r w:rsidRPr="00D47D14">
        <w:rPr>
          <w:rFonts w:ascii="Calibri" w:hAnsi="Calibri" w:cs="Calibri"/>
        </w:rPr>
        <w:t>” é o conjunto de todos os pedidos no Total de Pedidos que não devolveram um Código de Êxito ou uma resposta HTTP 4xx.</w:t>
      </w:r>
    </w:p>
    <w:p w14:paraId="6318A07B"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Réplica</w:t>
      </w:r>
      <w:r w:rsidRPr="00D47D14">
        <w:rPr>
          <w:rFonts w:ascii="Calibri" w:hAnsi="Calibri" w:cs="Calibri"/>
        </w:rPr>
        <w:t>” é uma cópia de um índice de pesquisa numa Instância do Serviço de Pesquisa.</w:t>
      </w:r>
    </w:p>
    <w:p w14:paraId="42D17111"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Instância do Serviço de Pesquisa</w:t>
      </w:r>
      <w:r w:rsidRPr="00D47D14">
        <w:rPr>
          <w:rFonts w:ascii="Calibri" w:hAnsi="Calibri" w:cs="Calibri"/>
        </w:rPr>
        <w:t>” é uma instância do serviço de Pesquisa do Azure que contém um ou mais índices de pesquisa.</w:t>
      </w:r>
    </w:p>
    <w:p w14:paraId="77EB6B12"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Total de Pedidos</w:t>
      </w:r>
      <w:r w:rsidRPr="00D47D14">
        <w:rPr>
          <w:rFonts w:ascii="Calibri" w:hAnsi="Calibri" w:cs="Calibri"/>
        </w:rPr>
        <w:t>” é o conjunto de (i) todos os pedidos para atualizar uma Instância do Serviço de Pesquisa com três ou mais Réplicas, mais (ii) todos os pedidos de consulta de uma Instância do Serviço de Pesquisa com duas ou mais Réplicas, que não os Pedidos Excluídos, no intervalo de uma hora numa determinada subscrição do Azure durante um Período Aplicável.</w:t>
      </w:r>
    </w:p>
    <w:p w14:paraId="376FF54B" w14:textId="29E324F0" w:rsidR="00014752" w:rsidRDefault="00AC48A7" w:rsidP="00F01ED6">
      <w:pPr>
        <w:pStyle w:val="ProductList-Body"/>
        <w:keepNext/>
        <w:keepLines/>
      </w:pPr>
      <w:r>
        <w:rPr>
          <w:b/>
          <w:color w:val="00188F"/>
        </w:rPr>
        <w:lastRenderedPageBreak/>
        <w:t>Percentagem de Período de Disponibilidade</w:t>
      </w:r>
      <w:r w:rsidRPr="00473DD3">
        <w:rPr>
          <w:b/>
          <w:color w:val="00188F"/>
        </w:rPr>
        <w:t>:</w:t>
      </w:r>
      <w:r>
        <w:t xml:space="preserve"> A Percentagem de Período de Disponibilidade é calculada através da seguinte fórmula:</w:t>
      </w:r>
    </w:p>
    <w:p w14:paraId="7D3715DD" w14:textId="4B47E133" w:rsidR="00014752" w:rsidRPr="008216E6" w:rsidRDefault="003D7974" w:rsidP="00D7240E">
      <w:pPr>
        <w:keepNext/>
        <w:keepLines/>
        <w:spacing w:before="120" w:after="120"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C2957C8" w14:textId="77777777" w:rsidR="00014752" w:rsidRPr="00EF7CF9" w:rsidRDefault="00014752" w:rsidP="00F01ED6">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277097">
        <w:tc>
          <w:tcPr>
            <w:tcW w:w="5400" w:type="dxa"/>
          </w:tcPr>
          <w:p w14:paraId="4BFE1BAD" w14:textId="77777777" w:rsidR="00014752" w:rsidRPr="00EF7CF9" w:rsidRDefault="00014752" w:rsidP="00F01ED6">
            <w:pPr>
              <w:pStyle w:val="ProductList-OfferingBody"/>
              <w:jc w:val="center"/>
            </w:pPr>
            <w:r>
              <w:t>&lt; 99,9%</w:t>
            </w:r>
          </w:p>
        </w:tc>
        <w:tc>
          <w:tcPr>
            <w:tcW w:w="5400" w:type="dxa"/>
          </w:tcPr>
          <w:p w14:paraId="6E789323" w14:textId="77777777" w:rsidR="00014752" w:rsidRPr="00EF7CF9" w:rsidRDefault="00014752" w:rsidP="00F01ED6">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F01ED6">
            <w:pPr>
              <w:pStyle w:val="ProductList-OfferingBody"/>
              <w:jc w:val="center"/>
            </w:pPr>
            <w:r>
              <w:t>&lt; 99%</w:t>
            </w:r>
          </w:p>
        </w:tc>
        <w:tc>
          <w:tcPr>
            <w:tcW w:w="5400" w:type="dxa"/>
          </w:tcPr>
          <w:p w14:paraId="63670124" w14:textId="77777777" w:rsidR="00014752" w:rsidRPr="00EF7CF9" w:rsidRDefault="00014752" w:rsidP="00F01ED6">
            <w:pPr>
              <w:pStyle w:val="ProductList-OfferingBody"/>
              <w:jc w:val="center"/>
            </w:pPr>
            <w:r>
              <w:t>25%</w:t>
            </w:r>
          </w:p>
        </w:tc>
      </w:tr>
    </w:tbl>
    <w:bookmarkStart w:id="174" w:name="_Toc468346589"/>
    <w:bookmarkStart w:id="175" w:name="MicrosoftCognitiveServices"/>
    <w:bookmarkStart w:id="176" w:name="_Toc52348972"/>
    <w:p w14:paraId="43E9E803"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78A19B" w14:textId="31E5AACB" w:rsidR="00FE45CF" w:rsidRPr="00EF7CF9" w:rsidRDefault="00FE45CF" w:rsidP="00F01ED6">
      <w:pPr>
        <w:pStyle w:val="ProductList-Offering2Heading"/>
        <w:keepNext/>
        <w:tabs>
          <w:tab w:val="clear" w:pos="360"/>
          <w:tab w:val="clear" w:pos="720"/>
          <w:tab w:val="clear" w:pos="1080"/>
        </w:tabs>
        <w:spacing w:before="0" w:after="0"/>
        <w:outlineLvl w:val="2"/>
      </w:pPr>
      <w:bookmarkStart w:id="177" w:name="_Toc214456783"/>
      <w:r>
        <w:t xml:space="preserve">Serviços </w:t>
      </w:r>
      <w:r w:rsidR="000E4FED">
        <w:rPr>
          <w:rFonts w:ascii="Calibri Light" w:hAnsi="Calibri Light" w:cs="Calibri Light"/>
        </w:rPr>
        <w:t xml:space="preserve">de IA do </w:t>
      </w:r>
      <w:r>
        <w:t>Azure</w:t>
      </w:r>
      <w:bookmarkEnd w:id="174"/>
      <w:bookmarkEnd w:id="175"/>
      <w:bookmarkEnd w:id="176"/>
      <w:bookmarkEnd w:id="177"/>
    </w:p>
    <w:p w14:paraId="42DC8CF4" w14:textId="77777777" w:rsidR="00FE45CF" w:rsidRPr="008E7C1C" w:rsidRDefault="00FE45CF" w:rsidP="00F01ED6">
      <w:pPr>
        <w:pStyle w:val="ProductList-Body"/>
        <w:rPr>
          <w:szCs w:val="18"/>
        </w:rPr>
      </w:pPr>
      <w:r w:rsidRPr="008E7C1C">
        <w:rPr>
          <w:b/>
          <w:color w:val="00188F"/>
          <w:szCs w:val="18"/>
        </w:rPr>
        <w:t>Definições Adicionais</w:t>
      </w:r>
      <w:r w:rsidRPr="00473DD3">
        <w:rPr>
          <w:b/>
          <w:color w:val="00188F"/>
          <w:szCs w:val="18"/>
        </w:rPr>
        <w:t>:</w:t>
      </w:r>
    </w:p>
    <w:p w14:paraId="16A1BB9D" w14:textId="77777777" w:rsidR="009F16F1" w:rsidRPr="00C51C89" w:rsidRDefault="009F16F1" w:rsidP="00C33532">
      <w:pPr>
        <w:pStyle w:val="NormalWeb"/>
        <w:spacing w:before="0" w:beforeAutospacing="0" w:after="0" w:afterAutospacing="0"/>
        <w:rPr>
          <w:rFonts w:ascii="Calibri" w:eastAsiaTheme="minorHAnsi" w:hAnsi="Calibri" w:cs="Calibri"/>
          <w:sz w:val="18"/>
          <w:szCs w:val="18"/>
        </w:rPr>
      </w:pPr>
      <w:r w:rsidRPr="00A84407">
        <w:rPr>
          <w:rFonts w:ascii="Calibri" w:eastAsiaTheme="minorHAnsi" w:hAnsi="Calibri" w:cs="Calibri"/>
          <w:b/>
          <w:color w:val="00188F"/>
          <w:sz w:val="18"/>
          <w:szCs w:val="18"/>
        </w:rPr>
        <w:t>“</w:t>
      </w:r>
      <w:r>
        <w:rPr>
          <w:rFonts w:ascii="Calibri" w:eastAsiaTheme="minorHAnsi" w:hAnsi="Calibri" w:cs="Calibri"/>
          <w:b/>
          <w:color w:val="00188F"/>
          <w:sz w:val="18"/>
          <w:szCs w:val="18"/>
        </w:rPr>
        <w:t>Total de Tentativas de Transação</w:t>
      </w:r>
      <w:r w:rsidRPr="00A8440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é o número total de pedidos da API autenticados efetuado pelo Cliente durante um Período Aplicável para uma determinada API de Serviços de IA do Azure. O Total de Tentativas de Transação não inclui os pedidos de API que devolvem um Código de Erro e que são repetidos continuamente num intervalo de cinco minutos após a receção do primeiro Código de Erro.</w:t>
      </w:r>
    </w:p>
    <w:p w14:paraId="55A73EF0" w14:textId="77777777" w:rsidR="009F16F1" w:rsidRPr="00C51C89" w:rsidRDefault="009F16F1" w:rsidP="00C33532">
      <w:pPr>
        <w:pStyle w:val="NormalWeb"/>
        <w:spacing w:before="0" w:beforeAutospacing="0" w:after="0" w:afterAutospacing="0"/>
        <w:rPr>
          <w:rFonts w:ascii="Calibri" w:hAnsi="Calibri" w:cs="Calibri"/>
          <w:sz w:val="18"/>
          <w:szCs w:val="18"/>
        </w:rPr>
      </w:pPr>
      <w:r w:rsidRPr="00A84407">
        <w:rPr>
          <w:rFonts w:ascii="Calibri" w:eastAsiaTheme="minorHAnsi" w:hAnsi="Calibri" w:cs="Calibri"/>
          <w:b/>
          <w:color w:val="00188F"/>
          <w:sz w:val="18"/>
          <w:szCs w:val="18"/>
        </w:rPr>
        <w:t>“</w:t>
      </w:r>
      <w:r>
        <w:rPr>
          <w:rFonts w:ascii="Calibri" w:eastAsiaTheme="minorHAnsi" w:hAnsi="Calibri" w:cs="Calibri"/>
          <w:b/>
          <w:color w:val="00188F"/>
          <w:sz w:val="18"/>
          <w:szCs w:val="18"/>
        </w:rPr>
        <w:t>Transações com Falha</w:t>
      </w:r>
      <w:r w:rsidRPr="00A8440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é o conjunto de todos os pedidos para a API de Serviços de IA do Azure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0C267347" w14:textId="77777777" w:rsidR="009F16F1" w:rsidRPr="00C51C89" w:rsidRDefault="009F16F1" w:rsidP="00C33532">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 </w:t>
      </w:r>
      <w:r w:rsidRPr="00A84407">
        <w:rPr>
          <w:rFonts w:ascii="Calibri" w:eastAsiaTheme="minorHAnsi" w:hAnsi="Calibri" w:cs="Calibri"/>
          <w:b/>
          <w:color w:val="00188F"/>
          <w:sz w:val="18"/>
          <w:szCs w:val="18"/>
        </w:rPr>
        <w:t>“</w:t>
      </w:r>
      <w:r>
        <w:rPr>
          <w:rFonts w:ascii="Calibri" w:eastAsiaTheme="minorHAnsi" w:hAnsi="Calibri" w:cs="Calibri"/>
          <w:b/>
          <w:color w:val="00188F"/>
          <w:sz w:val="18"/>
          <w:szCs w:val="18"/>
        </w:rPr>
        <w:t>Percentagem de Período de Disponibilidade</w:t>
      </w:r>
      <w:r w:rsidRPr="00A84407">
        <w:rPr>
          <w:rFonts w:ascii="Calibri" w:eastAsiaTheme="minorHAnsi" w:hAnsi="Calibri" w:cs="Calibri"/>
          <w:b/>
          <w:color w:val="00188F"/>
          <w:sz w:val="18"/>
          <w:szCs w:val="18"/>
        </w:rPr>
        <w:t xml:space="preserve">” </w:t>
      </w:r>
      <w:r>
        <w:rPr>
          <w:rFonts w:ascii="Calibri" w:eastAsiaTheme="minorHAnsi" w:hAnsi="Calibri" w:cs="Calibri"/>
          <w:sz w:val="18"/>
          <w:szCs w:val="18"/>
        </w:rPr>
        <w:t>para cada Serviço da API é calculada como o Total de Tentativas de Transação menos as Transações com Falha dividido pelo Total de Tentativas de Transação num Período Aplicável para uma determinada subscrição da API.</w:t>
      </w:r>
    </w:p>
    <w:p w14:paraId="3A212876" w14:textId="77777777" w:rsidR="009F16F1" w:rsidRPr="00C51C89" w:rsidRDefault="009F16F1" w:rsidP="00C33532">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A Percentagem de Período de Disponibilidade é representada pela seguinte fórmula</w:t>
      </w:r>
      <w:r>
        <w:rPr>
          <w:rFonts w:ascii="Calibri" w:hAnsi="Calibri" w:cs="Calibri"/>
          <w:sz w:val="18"/>
          <w:szCs w:val="18"/>
        </w:rPr>
        <w:t>:</w:t>
      </w:r>
    </w:p>
    <w:p w14:paraId="7111832D" w14:textId="77777777" w:rsidR="009F16F1" w:rsidRPr="00EF7CF9" w:rsidRDefault="009F16F1" w:rsidP="00D7240E">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de Período de Disponibilidade Mensal=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47E25686" w14:textId="77777777" w:rsidR="009F16F1" w:rsidRPr="00C51C89" w:rsidRDefault="009F16F1" w:rsidP="00C33532">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Crédito de Serviço:</w:t>
      </w:r>
    </w:p>
    <w:p w14:paraId="598FA72A" w14:textId="77777777" w:rsidR="00A53646" w:rsidRDefault="00A53646" w:rsidP="009F16F1">
      <w:pPr>
        <w:pStyle w:val="NormalWeb"/>
        <w:spacing w:before="0" w:beforeAutospacing="0" w:after="0" w:afterAutospacing="0"/>
        <w:rPr>
          <w:rFonts w:ascii="Calibri" w:eastAsiaTheme="minorHAnsi" w:hAnsi="Calibri" w:cs="Calibri"/>
          <w:sz w:val="18"/>
          <w:szCs w:val="18"/>
        </w:rPr>
      </w:pPr>
    </w:p>
    <w:p w14:paraId="511E3236" w14:textId="0F1952F1" w:rsidR="009F16F1" w:rsidRPr="00C51C89" w:rsidRDefault="009F16F1" w:rsidP="009F16F1">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Os seguintes Níveis de Serviço e Créditos de Serviço são aplicáveis às APIs dos Serviços de IA do Azure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391FE2">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37613" w14:textId="77777777" w:rsidR="00FE45CF" w:rsidRPr="00EF7CF9" w:rsidRDefault="00FE45CF" w:rsidP="00391FE2">
            <w:pPr>
              <w:pStyle w:val="ProductList-OfferingBody"/>
              <w:jc w:val="center"/>
              <w:rPr>
                <w:color w:val="FFFFFF" w:themeColor="background1"/>
              </w:rPr>
            </w:pPr>
            <w:r>
              <w:rPr>
                <w:color w:val="FFFFFF" w:themeColor="background1"/>
              </w:rPr>
              <w:t>Crédito de Serviço</w:t>
            </w:r>
          </w:p>
        </w:tc>
      </w:tr>
      <w:tr w:rsidR="00FE45CF" w:rsidRPr="00B44CF9" w14:paraId="5768936A" w14:textId="77777777" w:rsidTr="00277097">
        <w:tc>
          <w:tcPr>
            <w:tcW w:w="5400" w:type="dxa"/>
          </w:tcPr>
          <w:p w14:paraId="1A3AAB71" w14:textId="77777777" w:rsidR="00FE45CF" w:rsidRPr="00EF7CF9" w:rsidRDefault="00FE45CF" w:rsidP="00391FE2">
            <w:pPr>
              <w:pStyle w:val="ProductList-OfferingBody"/>
              <w:jc w:val="center"/>
            </w:pPr>
            <w:r>
              <w:t>&lt; 99,9%</w:t>
            </w:r>
          </w:p>
        </w:tc>
        <w:tc>
          <w:tcPr>
            <w:tcW w:w="5400" w:type="dxa"/>
          </w:tcPr>
          <w:p w14:paraId="57CFBBE8" w14:textId="77777777" w:rsidR="00FE45CF" w:rsidRPr="00EF7CF9" w:rsidRDefault="00FE45CF" w:rsidP="00391FE2">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391FE2">
            <w:pPr>
              <w:pStyle w:val="ProductList-OfferingBody"/>
              <w:jc w:val="center"/>
            </w:pPr>
            <w:r>
              <w:t>&lt; 99%</w:t>
            </w:r>
          </w:p>
        </w:tc>
        <w:tc>
          <w:tcPr>
            <w:tcW w:w="5400" w:type="dxa"/>
          </w:tcPr>
          <w:p w14:paraId="3B56FC08" w14:textId="77777777" w:rsidR="00FE45CF" w:rsidRPr="00EF7CF9" w:rsidRDefault="00FE45CF" w:rsidP="00391FE2">
            <w:pPr>
              <w:pStyle w:val="ProductList-OfferingBody"/>
              <w:jc w:val="center"/>
            </w:pPr>
            <w:r>
              <w:t>25%</w:t>
            </w:r>
          </w:p>
        </w:tc>
      </w:tr>
    </w:tbl>
    <w:p w14:paraId="37A5D2B9" w14:textId="77777777" w:rsidR="004D140E" w:rsidRDefault="004D140E" w:rsidP="00B06E74">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de Nível de Serviço</w:t>
      </w:r>
      <w:r w:rsidRPr="00473DD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É aplicável um SLA separado ao Azure OpenAI Service</w:t>
      </w:r>
      <w:r>
        <w:rPr>
          <w:rFonts w:ascii="Times New Roman" w:hAnsi="Times New Roman" w:cs="Times New Roman"/>
          <w:sz w:val="24"/>
          <w:szCs w:val="24"/>
        </w:rPr>
        <w:t xml:space="preserve"> </w:t>
      </w:r>
    </w:p>
    <w:p w14:paraId="5F25689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4063A3D5" w14:textId="7F1C8748" w:rsidR="00175814" w:rsidRPr="00B6541B" w:rsidRDefault="00175814" w:rsidP="00F01ED6">
      <w:pPr>
        <w:pStyle w:val="ProductList-Offering2Heading"/>
        <w:keepNext/>
        <w:tabs>
          <w:tab w:val="clear" w:pos="360"/>
          <w:tab w:val="clear" w:pos="720"/>
          <w:tab w:val="clear" w:pos="1080"/>
        </w:tabs>
        <w:spacing w:before="0" w:after="0"/>
        <w:outlineLvl w:val="2"/>
      </w:pPr>
      <w:bookmarkStart w:id="178" w:name="_Toc214456784"/>
      <w:r>
        <w:t>Azure Communication Gateway</w:t>
      </w:r>
      <w:bookmarkEnd w:id="178"/>
    </w:p>
    <w:p w14:paraId="590B504A" w14:textId="77777777" w:rsidR="00B2013C" w:rsidRDefault="00B2013C" w:rsidP="00F01ED6">
      <w:pPr>
        <w:pStyle w:val="ProductList-Body"/>
        <w:rPr>
          <w:b/>
          <w:color w:val="00188F"/>
        </w:rPr>
      </w:pPr>
      <w:r>
        <w:rPr>
          <w:b/>
          <w:color w:val="00188F"/>
        </w:rPr>
        <w:t>Definições Adicionais</w:t>
      </w:r>
    </w:p>
    <w:p w14:paraId="22141E65" w14:textId="2DEB733A"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Número de Telefone Atribuído</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é um número de telefone que cumpre todos os seguintes critérios:</w:t>
      </w:r>
    </w:p>
    <w:p w14:paraId="78DED7AA"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Este número foi aprovisionado nos ambientes da Ligação Operadora ou do Telefone Móvel Teams.</w:t>
      </w:r>
    </w:p>
    <w:p w14:paraId="18047FD5"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é configurado para a conectividade através do Azure Communications Gateway.</w:t>
      </w:r>
    </w:p>
    <w:p w14:paraId="7FA8D795" w14:textId="30BB550B" w:rsidR="00B2013C" w:rsidRDefault="00B2013C" w:rsidP="00F01ED6">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estado do número de telefone é </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de Ligação à Operadora ou Telefone Móvel Teams. Isto inclui (entre outros) a atribuição a utilizadores, pontes de conferência, Aplicações de voz e aplicações de terceiros.</w:t>
      </w:r>
    </w:p>
    <w:p w14:paraId="0B635ABB" w14:textId="5519B07D"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Período de Indisponibilidade</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num Período Aplicável para uma determinada Subscrição do Microsoft Azure quando os</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Números de Telefone Atribuídos não conseguem iniciar ou receber chamadas de voz através do Azure Communications Gateway.</w:t>
      </w:r>
    </w:p>
    <w:p w14:paraId="7D9C651D" w14:textId="1D4FB057" w:rsidR="00B2013C" w:rsidRPr="008E7C1C" w:rsidRDefault="00380305" w:rsidP="00F01ED6">
      <w:pPr>
        <w:pStyle w:val="xmsonormal"/>
        <w:shd w:val="clear" w:color="auto" w:fill="FFFFFF"/>
        <w:spacing w:before="0" w:beforeAutospacing="0" w:after="0" w:afterAutospacing="0"/>
        <w:rPr>
          <w:rFonts w:asciiTheme="minorHAnsi" w:eastAsiaTheme="minorHAnsi" w:hAnsiTheme="minorHAnsi" w:cstheme="minorBidi"/>
          <w:spacing w:val="-3"/>
          <w:sz w:val="18"/>
          <w:szCs w:val="22"/>
        </w:rPr>
      </w:pP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b/>
          <w:bCs/>
          <w:color w:val="00188F"/>
          <w:spacing w:val="-3"/>
          <w:sz w:val="18"/>
          <w:szCs w:val="22"/>
        </w:rPr>
        <w:t>Número de Minutos de Período de Indisponibilidade</w:t>
      </w: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spacing w:val="-3"/>
          <w:sz w:val="18"/>
          <w:szCs w:val="22"/>
        </w:rPr>
        <w:t xml:space="preserve"> é a soma de todo o Período de Indisponibilidade, multiplicado pelo número de Números de Telefone Atribuídos incapazes de iniciar ou receber chamadas através do Azure Communications Gateway para o Período de Indisponibilidade indicado. </w:t>
      </w:r>
    </w:p>
    <w:p w14:paraId="73DFF7AD" w14:textId="416C1005"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Número Máximo de Minutos Disponíveis</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o número total de minutos num Período Aplicável que o Azure Communications Gateway foi implementado com êxito (ou seja, o estado de aprovisionamento está marcado como concluído) multiplicado pelo número máximo de Números de</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em qualquer altura durante esse Período Aplicável.</w:t>
      </w:r>
    </w:p>
    <w:p w14:paraId="722DA8A6" w14:textId="0A0082BF"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Percentagem de Período de Disponibilidade</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A Percentagem de Período de Disponibilidade é calculada utilizando a seguinte fórmula:</w:t>
      </w:r>
    </w:p>
    <w:p w14:paraId="45A84727" w14:textId="77777777" w:rsidR="00B2013C" w:rsidRPr="00B06E74" w:rsidRDefault="00B2013C" w:rsidP="00F01ED6">
      <w:pPr>
        <w:pStyle w:val="ProductList-Body"/>
        <w:rPr>
          <w:sz w:val="12"/>
          <w:szCs w:val="12"/>
        </w:rPr>
      </w:pPr>
    </w:p>
    <w:p w14:paraId="63BE773C" w14:textId="74D86773" w:rsidR="00B2013C" w:rsidRDefault="00000000" w:rsidP="00F01ED6">
      <w:pPr>
        <w:pStyle w:val="ListParagraph"/>
        <w:spacing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Período de Indisponibilidade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06E74">
      <w:pPr>
        <w:spacing w:after="120" w:line="240" w:lineRule="auto"/>
        <w:rPr>
          <w:sz w:val="18"/>
        </w:rPr>
      </w:pPr>
      <w:r>
        <w:rPr>
          <w:sz w:val="18"/>
        </w:rPr>
        <w:t>Este SLA não é aplicável às falhas causadas por qualquer falha de software, equipamento ou serviços de terceiros que não sejam controlados pela Microsoft ou pelo software Microsoft que não esteja a ser executado no âmbito deste Serviço.</w:t>
      </w:r>
    </w:p>
    <w:p w14:paraId="3D411D07" w14:textId="77777777" w:rsidR="00B2013C" w:rsidRDefault="00B2013C" w:rsidP="00F01ED6">
      <w:pPr>
        <w:pStyle w:val="ProductList-Body"/>
        <w:keepNext/>
        <w:rPr>
          <w:b/>
          <w:bCs/>
          <w:color w:val="00188F"/>
        </w:rPr>
      </w:pPr>
      <w:r>
        <w:rPr>
          <w:b/>
          <w:bCs/>
          <w:color w:val="00188F"/>
        </w:rPr>
        <w:lastRenderedPageBreak/>
        <w:t>Os seguintes Níveis de Serviço e Créditos de Serviço são aplicáveis à utilização que o Cliente faz do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F01ED6">
            <w:pPr>
              <w:pStyle w:val="ProductList-OfferingBody"/>
              <w:jc w:val="center"/>
              <w:rPr>
                <w:color w:val="FFFFFF" w:themeColor="background1"/>
              </w:rPr>
            </w:pPr>
            <w:r>
              <w:rPr>
                <w:color w:val="FFFFFF" w:themeColor="background1"/>
              </w:rPr>
              <w:t>Crédito de Serviço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F01ED6">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F01ED6">
            <w:pPr>
              <w:pStyle w:val="ProductList-OfferingBody"/>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F01ED6">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F01ED6">
            <w:pPr>
              <w:pStyle w:val="ProductList-OfferingBody"/>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1326FB06" w:rsidR="00B2013C" w:rsidRDefault="00B2013C" w:rsidP="00F01ED6">
            <w:pPr>
              <w:pStyle w:val="ProductList-OfferingBody"/>
              <w:jc w:val="center"/>
            </w:pPr>
            <w:r>
              <w:t>&lt;</w:t>
            </w:r>
            <w:r w:rsidR="006F3CBD">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F01ED6">
            <w:pPr>
              <w:pStyle w:val="ProductList-OfferingBody"/>
              <w:jc w:val="center"/>
            </w:pPr>
            <w:r>
              <w:t>100%</w:t>
            </w:r>
          </w:p>
        </w:tc>
      </w:tr>
    </w:tbl>
    <w:p w14:paraId="37584DD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3389F154" w14:textId="3BB2D9DD" w:rsidR="00B6541B" w:rsidRPr="00B6541B" w:rsidRDefault="00B6541B" w:rsidP="00F01ED6">
      <w:pPr>
        <w:pStyle w:val="ProductList-Offering2Heading"/>
        <w:keepNext/>
        <w:tabs>
          <w:tab w:val="clear" w:pos="360"/>
          <w:tab w:val="clear" w:pos="720"/>
          <w:tab w:val="clear" w:pos="1080"/>
        </w:tabs>
        <w:spacing w:before="0" w:after="0"/>
        <w:outlineLvl w:val="2"/>
      </w:pPr>
      <w:bookmarkStart w:id="179" w:name="_Toc214456785"/>
      <w:r>
        <w:t>Azure Communication Services</w:t>
      </w:r>
      <w:bookmarkEnd w:id="179"/>
    </w:p>
    <w:p w14:paraId="4DFBE77A" w14:textId="77777777" w:rsidR="00B6541B" w:rsidRPr="00B6541B" w:rsidRDefault="00B6541B" w:rsidP="00F01ED6">
      <w:pPr>
        <w:pStyle w:val="ProductList-Body"/>
        <w:rPr>
          <w:b/>
          <w:color w:val="00188F"/>
        </w:rPr>
      </w:pPr>
      <w:r>
        <w:rPr>
          <w:b/>
          <w:color w:val="00188F"/>
        </w:rPr>
        <w:t>Definições Adicionais</w:t>
      </w:r>
    </w:p>
    <w:p w14:paraId="53EC037E" w14:textId="01D68462" w:rsidR="00B6541B" w:rsidRDefault="00380305" w:rsidP="00F01ED6">
      <w:pPr>
        <w:pStyle w:val="ProductList-Body"/>
      </w:pPr>
      <w:r>
        <w:t>“</w:t>
      </w:r>
      <w:r w:rsidR="00B6541B">
        <w:rPr>
          <w:b/>
          <w:bCs/>
          <w:color w:val="00188F"/>
        </w:rPr>
        <w:t>Período de Indisponibilidade</w:t>
      </w:r>
      <w:r>
        <w:t>”</w:t>
      </w:r>
      <w:r w:rsidR="00B6541B">
        <w:t xml:space="preserve"> </w:t>
      </w:r>
      <w:r w:rsidR="00B6541B">
        <w:rPr>
          <w:rFonts w:ascii="Calibri" w:eastAsia="Calibri" w:hAnsi="Calibri" w:cs="Calibri"/>
        </w:rPr>
        <w:t>é o número total de Máximo de Minutos Disponíveis durante um Período Aplicável durante os quais o Azure Communication Services está indisponível. Um minuto considera-se indisponível se todos os pedidos durante este minuto gerarem 5xx erros.</w:t>
      </w:r>
    </w:p>
    <w:p w14:paraId="1DD25A5C" w14:textId="0597DFD0" w:rsidR="009E0C69" w:rsidRDefault="008F7199" w:rsidP="00F01ED6">
      <w:pPr>
        <w:pStyle w:val="ProductList-Body"/>
      </w:pPr>
      <w:r>
        <w:rPr>
          <w:b/>
          <w:bCs/>
          <w:color w:val="00188F"/>
        </w:rPr>
        <w:t>Máximo de Minutos Disponíveis</w:t>
      </w:r>
      <w:r>
        <w:rPr>
          <w:rFonts w:ascii="Calibri" w:eastAsia="Calibri" w:hAnsi="Calibri" w:cs="Calibri"/>
        </w:rPr>
        <w:t xml:space="preserve"> é o número total de minutos durante os quais o Azure Communication Services foi implementado por um Cliente numa subscrição do Microsoft Azure durante um Período Aplicável.</w:t>
      </w:r>
    </w:p>
    <w:p w14:paraId="47E4892E" w14:textId="6415D2FD" w:rsidR="00B6541B"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63F391E8" w14:textId="46D3DAC2" w:rsidR="00B6541B" w:rsidRPr="00AB1841" w:rsidRDefault="00000000" w:rsidP="00D724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BC57BA9" w14:textId="77777777" w:rsidR="00B6541B" w:rsidRPr="00B6541B" w:rsidRDefault="00B6541B" w:rsidP="00F01ED6">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F01ED6">
            <w:pPr>
              <w:pStyle w:val="ProductList-OfferingBody"/>
              <w:spacing w:before="0" w:after="0"/>
              <w:jc w:val="center"/>
              <w:rPr>
                <w:color w:val="FFFFFF" w:themeColor="background1"/>
              </w:rPr>
            </w:pPr>
            <w:r>
              <w:rPr>
                <w:color w:val="FFFFFF" w:themeColor="background1"/>
              </w:rPr>
              <w:t>Percentagem de Período de Disponibilidade</w:t>
            </w:r>
          </w:p>
        </w:tc>
        <w:tc>
          <w:tcPr>
            <w:tcW w:w="5400" w:type="dxa"/>
            <w:shd w:val="clear" w:color="auto" w:fill="0072C6"/>
          </w:tcPr>
          <w:p w14:paraId="770A261D" w14:textId="77777777" w:rsidR="00B6541B" w:rsidRPr="00EF7CF9" w:rsidRDefault="00B6541B" w:rsidP="00F01ED6">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277097">
        <w:tc>
          <w:tcPr>
            <w:tcW w:w="5400" w:type="dxa"/>
          </w:tcPr>
          <w:p w14:paraId="53F0625F" w14:textId="77777777" w:rsidR="00B6541B" w:rsidRPr="00EF7CF9" w:rsidRDefault="00B6541B" w:rsidP="00391FE2">
            <w:pPr>
              <w:pStyle w:val="ProductList-OfferingBody"/>
              <w:jc w:val="center"/>
            </w:pPr>
            <w:r>
              <w:t>&lt; 99,9%</w:t>
            </w:r>
          </w:p>
        </w:tc>
        <w:tc>
          <w:tcPr>
            <w:tcW w:w="5400" w:type="dxa"/>
          </w:tcPr>
          <w:p w14:paraId="47FAAA95" w14:textId="77777777" w:rsidR="00B6541B" w:rsidRPr="00EF7CF9" w:rsidRDefault="00B6541B" w:rsidP="00391FE2">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391FE2">
            <w:pPr>
              <w:pStyle w:val="ProductList-OfferingBody"/>
              <w:jc w:val="center"/>
            </w:pPr>
            <w:r>
              <w:t>&lt; 99%</w:t>
            </w:r>
          </w:p>
        </w:tc>
        <w:tc>
          <w:tcPr>
            <w:tcW w:w="5400" w:type="dxa"/>
          </w:tcPr>
          <w:p w14:paraId="2C12DDBF" w14:textId="77777777" w:rsidR="00B6541B" w:rsidRPr="00EF7CF9" w:rsidRDefault="00B6541B" w:rsidP="00391FE2">
            <w:pPr>
              <w:pStyle w:val="ProductList-OfferingBody"/>
              <w:jc w:val="center"/>
            </w:pPr>
            <w:r>
              <w:t>25%</w:t>
            </w:r>
          </w:p>
        </w:tc>
      </w:tr>
    </w:tbl>
    <w:p w14:paraId="06E0A7F5" w14:textId="0BADDD2C" w:rsidR="00B6541B" w:rsidRDefault="00532226" w:rsidP="00F01ED6">
      <w:pPr>
        <w:pStyle w:val="ProductList-Body"/>
        <w:spacing w:before="120"/>
      </w:pPr>
      <w:r>
        <w:rPr>
          <w:b/>
          <w:bCs/>
          <w:color w:val="00188F"/>
        </w:rPr>
        <w:t>Termos Adicionais</w:t>
      </w:r>
      <w:r w:rsidRPr="00473DD3">
        <w:rPr>
          <w:b/>
          <w:bCs/>
          <w:color w:val="00188F"/>
        </w:rPr>
        <w:t>:</w:t>
      </w:r>
      <w:r>
        <w:t xml:space="preserve"> O crédito de serviço será aplicado ao serviço individual que estava indisponível. Por exemplo, se o Cliente estava a utilizar serviços de SMS e Chat, e o serviço SMS não cumprir o SLA, o Cliente receberia um crédito pela utilização de SMS, não pela utilização do chat.</w:t>
      </w:r>
    </w:p>
    <w:p w14:paraId="73980EF5" w14:textId="77777777" w:rsidR="00B6541B" w:rsidRPr="00B06E74" w:rsidRDefault="00B6541B" w:rsidP="00F01ED6">
      <w:pPr>
        <w:pStyle w:val="ProductList-Body"/>
        <w:rPr>
          <w:sz w:val="12"/>
          <w:szCs w:val="12"/>
        </w:rPr>
      </w:pPr>
    </w:p>
    <w:p w14:paraId="2B82CC9C" w14:textId="2FE31A1A" w:rsidR="00B6541B" w:rsidRDefault="00B6541B" w:rsidP="00F01ED6">
      <w:pPr>
        <w:pStyle w:val="ProductList-Body"/>
      </w:pPr>
      <w:r>
        <w:t>Os minutos disponíveis baseiam-se apenas em serviços que estão sob o controlo do Azure Communication Services, o que exclui serviços de terceiros, tais como operadoras e fornecedores de telecomunicações.</w:t>
      </w:r>
    </w:p>
    <w:p w14:paraId="02F708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776DED38" w14:textId="77777777" w:rsidR="00774368" w:rsidRPr="00774368" w:rsidRDefault="00774368" w:rsidP="00F01ED6">
      <w:pPr>
        <w:pStyle w:val="ProductList-Offering2Heading"/>
        <w:keepNext/>
        <w:tabs>
          <w:tab w:val="clear" w:pos="360"/>
          <w:tab w:val="clear" w:pos="720"/>
          <w:tab w:val="clear" w:pos="1080"/>
        </w:tabs>
        <w:spacing w:before="0" w:after="0"/>
        <w:outlineLvl w:val="2"/>
      </w:pPr>
      <w:bookmarkStart w:id="180" w:name="_Toc214456786"/>
      <w:r>
        <w:t>Azure Confidential Ledger</w:t>
      </w:r>
      <w:bookmarkEnd w:id="180"/>
    </w:p>
    <w:p w14:paraId="4F327946" w14:textId="719E083B" w:rsidR="00774368" w:rsidRPr="00774368" w:rsidRDefault="00EE6E3C" w:rsidP="00F01ED6">
      <w:pPr>
        <w:pStyle w:val="ProductList-Body"/>
        <w:rPr>
          <w:b/>
          <w:bCs/>
          <w:color w:val="00188F"/>
        </w:rPr>
      </w:pPr>
      <w:r>
        <w:rPr>
          <w:b/>
          <w:bCs/>
          <w:color w:val="00188F"/>
        </w:rPr>
        <w:t>Cálculo do Período de Disponibilidade e Níveis de Serviço para o Azure Confidential Ledger</w:t>
      </w:r>
    </w:p>
    <w:p w14:paraId="5E635D0D" w14:textId="41D0651D" w:rsidR="00774368" w:rsidRDefault="00380305" w:rsidP="00F01ED6">
      <w:pPr>
        <w:pStyle w:val="ProductList-Body"/>
      </w:pPr>
      <w:r>
        <w:t>“</w:t>
      </w:r>
      <w:r w:rsidR="00774368">
        <w:rPr>
          <w:b/>
          <w:bCs/>
          <w:color w:val="00188F"/>
        </w:rPr>
        <w:t>Minutos de Implementação</w:t>
      </w:r>
      <w:r>
        <w:t>”</w:t>
      </w:r>
      <w:r w:rsidR="00774368">
        <w:t xml:space="preserve"> designa o número total de minutos durante os quais um determinado livro-razão confidencial gerido foi implementado no Microsoft Azure durante um Período Aplicável.</w:t>
      </w:r>
    </w:p>
    <w:p w14:paraId="7F32078E" w14:textId="4BAC3862" w:rsidR="00774368" w:rsidRDefault="00380305" w:rsidP="00F01ED6">
      <w:pPr>
        <w:pStyle w:val="ProductList-Body"/>
      </w:pPr>
      <w:r>
        <w:t>“</w:t>
      </w:r>
      <w:r w:rsidR="00774368">
        <w:rPr>
          <w:b/>
          <w:bCs/>
          <w:color w:val="00188F"/>
        </w:rPr>
        <w:t>Máximo de Minutos Disponíveis</w:t>
      </w:r>
      <w:r>
        <w:t>”</w:t>
      </w:r>
      <w:r w:rsidR="00774368">
        <w:t xml:space="preserve"> designa a soma de todos os Minutos de Implementação em todos os livros-razão confidenciais geridos implementados pelo Cliente numa determinada subscrição do Microsoft Azure durante um Período Aplicável.</w:t>
      </w:r>
    </w:p>
    <w:p w14:paraId="12F1C8B0" w14:textId="763E21E2" w:rsidR="00774368" w:rsidRDefault="00380305" w:rsidP="00F01ED6">
      <w:pPr>
        <w:pStyle w:val="ProductList-Body"/>
      </w:pPr>
      <w:r>
        <w:t>“</w:t>
      </w:r>
      <w:r w:rsidR="00774368">
        <w:rPr>
          <w:b/>
          <w:bCs/>
          <w:color w:val="00188F"/>
        </w:rPr>
        <w:t>Transações Excluídas</w:t>
      </w:r>
      <w:r>
        <w:t>”</w:t>
      </w:r>
      <w:r w:rsidR="00774368">
        <w:t xml:space="preserve"> são transações para criar, atualizar ou eliminar livros-razão confidenciais geridos.</w:t>
      </w:r>
    </w:p>
    <w:p w14:paraId="5F7EAD95" w14:textId="754F126F" w:rsidR="00774368" w:rsidRDefault="00380305" w:rsidP="00F01ED6">
      <w:pPr>
        <w:pStyle w:val="ProductList-Body"/>
      </w:pPr>
      <w:r>
        <w:t>“</w:t>
      </w:r>
      <w:r w:rsidR="00774368">
        <w:rPr>
          <w:b/>
          <w:bCs/>
          <w:color w:val="00188F"/>
        </w:rPr>
        <w:t>Período de Indisponibilidade</w:t>
      </w:r>
      <w:r>
        <w:t>”</w:t>
      </w:r>
      <w:r w:rsidR="00774368">
        <w:t xml:space="preserve"> designa o total de minutos acumulados, em todos os livros-razão confidenciais geridos implementados pelo Cliente</w:t>
      </w:r>
      <w:r w:rsidR="00680432">
        <w:t> </w:t>
      </w:r>
      <w:r w:rsidR="00774368">
        <w:t>numa determinada subscrição do Microsoft Azure, durante a qual o livro-razão confidencial gerido está indisponível. Um minuto é</w:t>
      </w:r>
      <w:r w:rsidR="00680432">
        <w:t> </w:t>
      </w:r>
      <w:r w:rsidR="00774368">
        <w:t>considerado indisponível para um determinado livro-razão confidencial se todas as tentativas contínuas para executar transações, que não</w:t>
      </w:r>
      <w:r w:rsidR="00774368" w:rsidRPr="00680432">
        <w:t xml:space="preserve"> </w:t>
      </w:r>
      <w:r w:rsidR="00774368">
        <w:t>Transações Excluídas, no livro-razão confidencial durante esse minuto devolverem um Código de Erro ou não resultarem num Código de Êxito num</w:t>
      </w:r>
      <w:r w:rsidR="00680432">
        <w:t> </w:t>
      </w:r>
      <w:r w:rsidR="00774368">
        <w:t>prazo de 5 segundos após a receção do pedido por parte da Microsoft.</w:t>
      </w:r>
    </w:p>
    <w:p w14:paraId="431E0688" w14:textId="30B3307C" w:rsidR="00774368" w:rsidRDefault="00774368" w:rsidP="00F01ED6">
      <w:pPr>
        <w:pStyle w:val="ProductList-Body"/>
      </w:pPr>
      <w:r>
        <w:t xml:space="preserve">A </w:t>
      </w:r>
      <w:r w:rsidR="00380305">
        <w:t>“</w:t>
      </w:r>
      <w:r>
        <w:rPr>
          <w:b/>
          <w:bCs/>
          <w:color w:val="00188F"/>
        </w:rPr>
        <w:t>Percentagem de Período de Disponibilidade</w:t>
      </w:r>
      <w:r w:rsidR="00380305">
        <w:t>”</w:t>
      </w:r>
      <w:r>
        <w:t xml:space="preserve"> para o serviço Azure Confidential Ledger é calculada como o Máximo de Minutos Disponíveis menos o Período de Indisponibilidade a dividir pelo Máximo de Minutos Disponíveis num Período Aplicável para uma determinada subscrição do</w:t>
      </w:r>
      <w:r w:rsidR="00DA3382">
        <w:t> </w:t>
      </w:r>
      <w:r>
        <w:t>Microsoft Azure. A Percentagem de Período de Disponibilidade é representada pela seguinte fórmula:</w:t>
      </w:r>
    </w:p>
    <w:p w14:paraId="71ED74DB" w14:textId="19DDD41A" w:rsidR="00774368" w:rsidRPr="00B06E74" w:rsidRDefault="00774368" w:rsidP="00F01ED6">
      <w:pPr>
        <w:pStyle w:val="ProductList-Body"/>
        <w:rPr>
          <w:sz w:val="12"/>
          <w:szCs w:val="12"/>
        </w:rPr>
      </w:pPr>
    </w:p>
    <w:p w14:paraId="79D5452C" w14:textId="1BE4CA3C" w:rsidR="00774368"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C2DF121" w14:textId="77777777" w:rsidR="00774368" w:rsidRPr="00774368" w:rsidRDefault="00774368" w:rsidP="00F01ED6">
      <w:pPr>
        <w:pStyle w:val="ProductList-Body"/>
        <w:keepNext/>
        <w:rPr>
          <w:b/>
          <w:bCs/>
          <w:color w:val="00188F"/>
        </w:rPr>
      </w:pPr>
      <w:r>
        <w:rPr>
          <w:b/>
          <w:bCs/>
          <w:color w:val="00188F"/>
        </w:rPr>
        <w:t>Os seguintes Níveis de Serviço e Créditos de Serviço são aplicáveis à utilização do Azure Confidential Ledger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751BF2" w14:textId="77777777" w:rsidR="00774368" w:rsidRPr="001A0074" w:rsidRDefault="00774368" w:rsidP="00F01ED6">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277097">
        <w:tc>
          <w:tcPr>
            <w:tcW w:w="5400" w:type="dxa"/>
          </w:tcPr>
          <w:p w14:paraId="0E1A7FE2" w14:textId="77777777" w:rsidR="00774368" w:rsidRPr="0076238C" w:rsidRDefault="00774368" w:rsidP="00F01ED6">
            <w:pPr>
              <w:pStyle w:val="ProductList-OfferingBody"/>
              <w:jc w:val="center"/>
            </w:pPr>
            <w:r>
              <w:t>&lt; 99,9%</w:t>
            </w:r>
          </w:p>
        </w:tc>
        <w:tc>
          <w:tcPr>
            <w:tcW w:w="5400" w:type="dxa"/>
          </w:tcPr>
          <w:p w14:paraId="29A8BCAC" w14:textId="77777777" w:rsidR="00774368" w:rsidRPr="0076238C" w:rsidRDefault="00774368" w:rsidP="00F01ED6">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F01ED6">
            <w:pPr>
              <w:pStyle w:val="ProductList-OfferingBody"/>
              <w:jc w:val="center"/>
            </w:pPr>
            <w:r>
              <w:t>&lt; 99%</w:t>
            </w:r>
          </w:p>
        </w:tc>
        <w:tc>
          <w:tcPr>
            <w:tcW w:w="5400" w:type="dxa"/>
          </w:tcPr>
          <w:p w14:paraId="1DBA3864" w14:textId="77777777" w:rsidR="00774368" w:rsidRPr="0076238C" w:rsidRDefault="00774368" w:rsidP="00F01ED6">
            <w:pPr>
              <w:pStyle w:val="ProductList-OfferingBody"/>
              <w:jc w:val="center"/>
            </w:pPr>
            <w:r>
              <w:t>25%</w:t>
            </w:r>
          </w:p>
        </w:tc>
      </w:tr>
    </w:tbl>
    <w:p w14:paraId="37502D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EF48DB" w14:textId="77777777" w:rsidR="000B24EC" w:rsidRPr="000B24EC" w:rsidRDefault="000B24EC" w:rsidP="00F01ED6">
      <w:pPr>
        <w:pStyle w:val="ProductList-Offering2Heading"/>
        <w:keepNext/>
        <w:tabs>
          <w:tab w:val="clear" w:pos="360"/>
          <w:tab w:val="clear" w:pos="720"/>
          <w:tab w:val="clear" w:pos="1080"/>
        </w:tabs>
        <w:spacing w:before="0" w:after="0"/>
        <w:outlineLvl w:val="2"/>
      </w:pPr>
      <w:bookmarkStart w:id="181" w:name="_Toc214456787"/>
      <w:r>
        <w:lastRenderedPageBreak/>
        <w:t>Azure Container Apps</w:t>
      </w:r>
      <w:bookmarkEnd w:id="181"/>
    </w:p>
    <w:p w14:paraId="6CCAE860" w14:textId="77777777" w:rsidR="000B24EC" w:rsidRPr="000B24EC" w:rsidRDefault="000B24EC" w:rsidP="00F01ED6">
      <w:pPr>
        <w:pStyle w:val="ProductList-Body"/>
        <w:rPr>
          <w:b/>
          <w:bCs/>
          <w:color w:val="00188F"/>
        </w:rPr>
      </w:pPr>
      <w:r>
        <w:rPr>
          <w:b/>
          <w:bCs/>
          <w:color w:val="00188F"/>
        </w:rPr>
        <w:t>Definições Adicionais</w:t>
      </w:r>
    </w:p>
    <w:p w14:paraId="3F419D97" w14:textId="3D7EBB88" w:rsidR="000B24EC" w:rsidRDefault="00380305" w:rsidP="00F01ED6">
      <w:pPr>
        <w:pStyle w:val="ProductList-Body"/>
      </w:pPr>
      <w:r>
        <w:t>“</w:t>
      </w:r>
      <w:r w:rsidR="000B24EC">
        <w:rPr>
          <w:b/>
          <w:bCs/>
          <w:color w:val="00188F"/>
        </w:rPr>
        <w:t>Aplicação</w:t>
      </w:r>
      <w:r>
        <w:t>”</w:t>
      </w:r>
      <w:r w:rsidR="000B24EC">
        <w:t xml:space="preserve"> é um microsserviço ou uma aplicação implementada por um cliente do serviço Azure Container Apps.</w:t>
      </w:r>
    </w:p>
    <w:p w14:paraId="7A1E0F20" w14:textId="57917914" w:rsidR="000B24EC" w:rsidRPr="008E7C1C" w:rsidRDefault="00380305" w:rsidP="00F01ED6">
      <w:pPr>
        <w:pStyle w:val="ProductList-Body"/>
        <w:rPr>
          <w:spacing w:val="-3"/>
        </w:rPr>
      </w:pPr>
      <w:r>
        <w:rPr>
          <w:spacing w:val="-3"/>
        </w:rPr>
        <w:t>“</w:t>
      </w:r>
      <w:r w:rsidR="000B24EC" w:rsidRPr="008E7C1C">
        <w:rPr>
          <w:b/>
          <w:bCs/>
          <w:color w:val="00188F"/>
          <w:spacing w:val="-3"/>
        </w:rPr>
        <w:t>Minutos de Implementação</w:t>
      </w:r>
      <w:r>
        <w:rPr>
          <w:spacing w:val="-3"/>
        </w:rPr>
        <w:t>”</w:t>
      </w:r>
      <w:r w:rsidR="000B24EC" w:rsidRPr="008E7C1C">
        <w:rPr>
          <w:spacing w:val="-3"/>
        </w:rPr>
        <w:t xml:space="preserve"> designa o número total de minutos durante os quais se espera que uma Aplicação esteja ativa durante um Período Aplicável. O tempo que se espera que uma Aplicação esteja ativa durante um Período Aplicável baseia-se em regras de escala definidas por um cliente.</w:t>
      </w:r>
    </w:p>
    <w:p w14:paraId="577AE7E2" w14:textId="0C70F7A9" w:rsidR="000B24EC" w:rsidRDefault="00380305" w:rsidP="00F01ED6">
      <w:pPr>
        <w:pStyle w:val="ProductList-Body"/>
      </w:pPr>
      <w:r>
        <w:t>“</w:t>
      </w:r>
      <w:r w:rsidR="000B24EC">
        <w:rPr>
          <w:b/>
          <w:bCs/>
          <w:color w:val="00188F"/>
        </w:rPr>
        <w:t>Máximo de Minutos Disponíveis</w:t>
      </w:r>
      <w:r>
        <w:t>”</w:t>
      </w:r>
      <w:r w:rsidR="000B24EC">
        <w:t xml:space="preserve"> designa a soma de todos os Minutos de Implementação para uma determinada Aplicação implementada pelo Cliente numa determinada subscrição do Microsoft Azure durante um Período Aplicável.</w:t>
      </w:r>
    </w:p>
    <w:p w14:paraId="31B96E11" w14:textId="79AF2C7C" w:rsidR="000B24EC" w:rsidRPr="000B24EC" w:rsidRDefault="00EE6E3C" w:rsidP="00B06E74">
      <w:pPr>
        <w:pStyle w:val="ProductList-Body"/>
        <w:rPr>
          <w:b/>
          <w:bCs/>
          <w:color w:val="00188F"/>
        </w:rPr>
      </w:pPr>
      <w:r>
        <w:rPr>
          <w:b/>
          <w:bCs/>
          <w:color w:val="00188F"/>
        </w:rPr>
        <w:t>Cálculo do Período de Disponibilidade e Níveis de Serviço para o Azure Container Apps</w:t>
      </w:r>
    </w:p>
    <w:p w14:paraId="31C04623" w14:textId="60D6084A" w:rsidR="000B24EC" w:rsidRDefault="00380305" w:rsidP="00F01ED6">
      <w:pPr>
        <w:pStyle w:val="ProductList-Body"/>
      </w:pPr>
      <w:r>
        <w:t>“</w:t>
      </w:r>
      <w:r w:rsidR="000B24EC">
        <w:rPr>
          <w:b/>
          <w:bCs/>
          <w:color w:val="00188F"/>
        </w:rPr>
        <w:t>Período de Indisponibilidade</w:t>
      </w:r>
      <w:r>
        <w:t>”</w:t>
      </w:r>
      <w:r w:rsidR="000B24EC">
        <w:t xml:space="preserve"> designa o total de minutos acumulados, em todas as Aplicações implementadas por um Cliente numa determinada subscrição do Microsoft Azure, durante a qual uma ou mais Aplicações está indisponível. Um minuto é considerado indisponível para uma determinada Aplicação quando não existe nenhuma conectividade entre a Aplicação e o gateway de Internet da Microsoft.</w:t>
      </w:r>
    </w:p>
    <w:p w14:paraId="5C76F7F0" w14:textId="3AB85C78" w:rsidR="000B24EC" w:rsidRDefault="00AC48A7" w:rsidP="00F01ED6">
      <w:pPr>
        <w:pStyle w:val="ProductList-Body"/>
      </w:pPr>
      <w:r>
        <w:rPr>
          <w:b/>
          <w:bCs/>
          <w:color w:val="00188F"/>
        </w:rPr>
        <w:t>Percentagem de Período de Disponibilidade:</w:t>
      </w:r>
      <w:r>
        <w:t xml:space="preserve"> A </w:t>
      </w:r>
      <w:r w:rsidR="00380305">
        <w:t>“</w:t>
      </w:r>
      <w:r>
        <w:t>Percentagem de Período de Disponibilidade</w:t>
      </w:r>
      <w:r w:rsidR="00380305">
        <w:t>”</w:t>
      </w:r>
      <w:r>
        <w:t xml:space="preserve"> é calculada através da seguinte fórmula:</w:t>
      </w:r>
    </w:p>
    <w:p w14:paraId="2E6F5040" w14:textId="77777777" w:rsidR="000B24EC" w:rsidRPr="00B06E74" w:rsidRDefault="000B24EC" w:rsidP="00F01ED6">
      <w:pPr>
        <w:pStyle w:val="ProductList-Body"/>
        <w:rPr>
          <w:sz w:val="12"/>
          <w:szCs w:val="12"/>
        </w:rPr>
      </w:pPr>
    </w:p>
    <w:p w14:paraId="2449A806" w14:textId="685017D2" w:rsidR="000B24EC"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CC817AF" w14:textId="77777777" w:rsidR="000B24EC" w:rsidRPr="0009720F" w:rsidRDefault="000B24EC" w:rsidP="00F01ED6">
      <w:pPr>
        <w:pStyle w:val="ProductList-Body"/>
        <w:keepNext/>
        <w:rPr>
          <w:b/>
          <w:bCs/>
          <w:color w:val="00188F"/>
        </w:rPr>
      </w:pPr>
      <w:r>
        <w:rPr>
          <w:b/>
          <w:bCs/>
          <w:color w:val="00188F"/>
        </w:rPr>
        <w:t>Os seguintes Níveis de Serviço e Créditos de Serviço são aplicáveis à utilização que o Cliente faz do serviço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01E2CC" w14:textId="77777777" w:rsidR="0009720F" w:rsidRPr="001A0074" w:rsidRDefault="0009720F" w:rsidP="00F01ED6">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277097">
        <w:tc>
          <w:tcPr>
            <w:tcW w:w="5400" w:type="dxa"/>
          </w:tcPr>
          <w:p w14:paraId="63E22245" w14:textId="0C0A2D6A" w:rsidR="0009720F" w:rsidRPr="0076238C" w:rsidRDefault="0009720F" w:rsidP="00F01ED6">
            <w:pPr>
              <w:pStyle w:val="ProductList-OfferingBody"/>
              <w:jc w:val="center"/>
            </w:pPr>
            <w:r>
              <w:t>&lt; 99,95%</w:t>
            </w:r>
          </w:p>
        </w:tc>
        <w:tc>
          <w:tcPr>
            <w:tcW w:w="5400" w:type="dxa"/>
          </w:tcPr>
          <w:p w14:paraId="75499F95" w14:textId="77777777" w:rsidR="0009720F" w:rsidRPr="0076238C" w:rsidRDefault="0009720F" w:rsidP="00F01ED6">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F01ED6">
            <w:pPr>
              <w:pStyle w:val="ProductList-OfferingBody"/>
              <w:jc w:val="center"/>
            </w:pPr>
            <w:r>
              <w:t>&lt; 99%</w:t>
            </w:r>
          </w:p>
        </w:tc>
        <w:tc>
          <w:tcPr>
            <w:tcW w:w="5400" w:type="dxa"/>
          </w:tcPr>
          <w:p w14:paraId="00A669D7" w14:textId="77777777" w:rsidR="0009720F" w:rsidRPr="0076238C" w:rsidRDefault="0009720F" w:rsidP="00F01ED6">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F01ED6">
            <w:pPr>
              <w:pStyle w:val="ProductList-OfferingBody"/>
              <w:jc w:val="center"/>
            </w:pPr>
            <w:r>
              <w:t>&lt; 95%</w:t>
            </w:r>
          </w:p>
        </w:tc>
        <w:tc>
          <w:tcPr>
            <w:tcW w:w="5400" w:type="dxa"/>
          </w:tcPr>
          <w:p w14:paraId="31812F43" w14:textId="34C34F3C" w:rsidR="0009720F" w:rsidRDefault="0009720F" w:rsidP="00F01ED6">
            <w:pPr>
              <w:pStyle w:val="ProductList-OfferingBody"/>
              <w:jc w:val="center"/>
            </w:pPr>
            <w:r>
              <w:t>100%</w:t>
            </w:r>
          </w:p>
        </w:tc>
      </w:tr>
    </w:tbl>
    <w:p w14:paraId="7D88D33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D97ED15" w14:textId="47BE4869" w:rsidR="004005AF" w:rsidRDefault="004005AF" w:rsidP="00F01ED6">
      <w:pPr>
        <w:pStyle w:val="ProductList-Offering2Heading"/>
        <w:keepNext/>
        <w:tabs>
          <w:tab w:val="clear" w:pos="360"/>
          <w:tab w:val="clear" w:pos="720"/>
          <w:tab w:val="clear" w:pos="1080"/>
        </w:tabs>
        <w:outlineLvl w:val="2"/>
      </w:pPr>
      <w:bookmarkStart w:id="182" w:name="_Toc214456788"/>
      <w:r>
        <w:t>Azure Container Instances</w:t>
      </w:r>
      <w:bookmarkEnd w:id="161"/>
      <w:bookmarkEnd w:id="162"/>
      <w:bookmarkEnd w:id="182"/>
    </w:p>
    <w:p w14:paraId="386F1074" w14:textId="77777777" w:rsidR="004005AF" w:rsidRPr="00DA6241" w:rsidRDefault="004005AF" w:rsidP="00F01ED6">
      <w:pPr>
        <w:pStyle w:val="ProductList-Body"/>
      </w:pPr>
      <w:r>
        <w:rPr>
          <w:b/>
          <w:color w:val="00188F"/>
        </w:rPr>
        <w:t>Definições Adicionais</w:t>
      </w:r>
      <w:r w:rsidRPr="00473DD3">
        <w:rPr>
          <w:b/>
          <w:color w:val="00188F"/>
        </w:rPr>
        <w:t>:</w:t>
      </w:r>
    </w:p>
    <w:p w14:paraId="17D6F31B" w14:textId="13DF7744"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designa o tráfego de rede bidirecional entre a o Grupo de Contentores e os outros endereços IP que utilizam os protocolos de</w:t>
      </w:r>
      <w:r w:rsidR="00802F81">
        <w:rPr>
          <w:sz w:val="18"/>
        </w:rPr>
        <w:t> </w:t>
      </w:r>
      <w:r w:rsidR="004005AF">
        <w:rPr>
          <w:sz w:val="18"/>
        </w:rPr>
        <w:t>rede TCP ou UDP em que o Grupo de Contentores está configurado para o tráfego permitido.</w:t>
      </w:r>
    </w:p>
    <w:p w14:paraId="2C3918CB" w14:textId="2F425110"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Grupo de Contentores</w:t>
      </w:r>
      <w:r>
        <w:rPr>
          <w:sz w:val="18"/>
        </w:rPr>
        <w:t>”</w:t>
      </w:r>
      <w:r w:rsidR="004005AF">
        <w:rPr>
          <w:rFonts w:eastAsiaTheme="minorEastAsia"/>
          <w:sz w:val="18"/>
          <w:szCs w:val="18"/>
        </w:rPr>
        <w:t xml:space="preserve"> </w:t>
      </w:r>
      <w:r w:rsidR="004005AF">
        <w:rPr>
          <w:sz w:val="18"/>
        </w:rPr>
        <w:t>designa uma coleção de contentores colocalizados que partilha o mesmo ciclo de vida e os recursos de rede.</w:t>
      </w:r>
    </w:p>
    <w:p w14:paraId="2BA58C30" w14:textId="64833E19" w:rsidR="004005AF" w:rsidRPr="006B254C" w:rsidRDefault="00EE6E3C" w:rsidP="00F01ED6">
      <w:pPr>
        <w:spacing w:before="120" w:after="0" w:line="240" w:lineRule="auto"/>
        <w:rPr>
          <w:sz w:val="18"/>
          <w:szCs w:val="18"/>
        </w:rPr>
      </w:pPr>
      <w:r>
        <w:rPr>
          <w:b/>
          <w:color w:val="00188F"/>
          <w:sz w:val="18"/>
          <w:szCs w:val="18"/>
        </w:rPr>
        <w:t>Cálculo do Período de Disponibilidade e Níveis de Serviço para o Grupo de Contentores</w:t>
      </w:r>
      <w:r w:rsidRPr="00473DD3">
        <w:rPr>
          <w:b/>
          <w:color w:val="00188F"/>
          <w:sz w:val="18"/>
          <w:szCs w:val="18"/>
        </w:rPr>
        <w:t>:</w:t>
      </w:r>
    </w:p>
    <w:p w14:paraId="08FFC51D" w14:textId="5686D202"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durante o qual um determinado Grupo de Contentores foi implementado pelo Cliente numa subscrição do Microsoft Azure durante um Período Aplicável. O Máximo de Minutos Disponíveis é calculado a partir da ação do Cliente que resulta na inicialização de um determinado Grupo de Contentores até à ação do Cliente que resulta na paragem ou na eliminação de</w:t>
      </w:r>
      <w:r w:rsidR="00A6660C">
        <w:rPr>
          <w:sz w:val="18"/>
        </w:rPr>
        <w:t> </w:t>
      </w:r>
      <w:r w:rsidR="004005AF">
        <w:rPr>
          <w:sz w:val="18"/>
        </w:rPr>
        <w:t>um determinado Grupo de Contentores.</w:t>
      </w:r>
    </w:p>
    <w:p w14:paraId="57399B70" w14:textId="0F2E5803"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Período de Indisponibilidade</w:t>
      </w:r>
      <w:r>
        <w:rPr>
          <w:sz w:val="18"/>
        </w:rPr>
        <w:t>”</w:t>
      </w:r>
      <w:r w:rsidR="004005AF">
        <w:rPr>
          <w:rFonts w:eastAsiaTheme="minorEastAsia"/>
          <w:sz w:val="18"/>
          <w:szCs w:val="18"/>
        </w:rPr>
        <w:t xml:space="preserve"> </w:t>
      </w:r>
      <w:r w:rsidR="004005AF">
        <w:rPr>
          <w:sz w:val="18"/>
        </w:rPr>
        <w:t>designa o número total de minutos durante o Máximo de Minutos Disponíveis sem Conectividade.</w:t>
      </w:r>
    </w:p>
    <w:p w14:paraId="03725B88" w14:textId="2B583F57"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52E1066" w14:textId="77777777" w:rsidR="004005AF" w:rsidRDefault="004005AF" w:rsidP="00F01ED6">
      <w:pPr>
        <w:pStyle w:val="ProductList-Body"/>
      </w:pPr>
    </w:p>
    <w:p w14:paraId="63380865" w14:textId="570C8D4B" w:rsidR="004005AF"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7A707BE" w14:textId="77777777" w:rsidR="004005AF" w:rsidRPr="00774368" w:rsidRDefault="004005AF" w:rsidP="00F01ED6">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à utilização do Grupo de Contentores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D54CC4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277097">
        <w:tc>
          <w:tcPr>
            <w:tcW w:w="5400" w:type="dxa"/>
          </w:tcPr>
          <w:p w14:paraId="35D30128" w14:textId="77777777" w:rsidR="004005AF" w:rsidRPr="0076238C" w:rsidRDefault="004005AF" w:rsidP="00F01ED6">
            <w:pPr>
              <w:pStyle w:val="ProductList-OfferingBody"/>
              <w:jc w:val="center"/>
            </w:pPr>
            <w:r>
              <w:t>&lt; 99,9%</w:t>
            </w:r>
          </w:p>
        </w:tc>
        <w:tc>
          <w:tcPr>
            <w:tcW w:w="5400" w:type="dxa"/>
          </w:tcPr>
          <w:p w14:paraId="7AE03CEF" w14:textId="77777777" w:rsidR="004005AF" w:rsidRPr="0076238C" w:rsidRDefault="004005AF" w:rsidP="00F01ED6">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F01ED6">
            <w:pPr>
              <w:pStyle w:val="ProductList-OfferingBody"/>
              <w:jc w:val="center"/>
            </w:pPr>
            <w:r>
              <w:t>&lt; 99%</w:t>
            </w:r>
          </w:p>
        </w:tc>
        <w:tc>
          <w:tcPr>
            <w:tcW w:w="5400" w:type="dxa"/>
          </w:tcPr>
          <w:p w14:paraId="24AC02CF" w14:textId="77777777" w:rsidR="004005AF" w:rsidRPr="0076238C" w:rsidRDefault="004005AF" w:rsidP="00F01ED6">
            <w:pPr>
              <w:pStyle w:val="ProductList-OfferingBody"/>
              <w:jc w:val="center"/>
            </w:pPr>
            <w:r>
              <w:t>25%</w:t>
            </w:r>
          </w:p>
        </w:tc>
      </w:tr>
    </w:tbl>
    <w:bookmarkStart w:id="183" w:name="_Hlk144403372"/>
    <w:bookmarkStart w:id="184" w:name="_Toc52348947"/>
    <w:bookmarkStart w:id="185" w:name="_Toc52348926"/>
    <w:bookmarkStart w:id="186" w:name="AzureCosmosDB"/>
    <w:bookmarkEnd w:id="163"/>
    <w:p w14:paraId="2CFC924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3BB6F2" w14:textId="77777777" w:rsidR="00491D0A" w:rsidRPr="00EF7CF9" w:rsidRDefault="00491D0A" w:rsidP="00F01ED6">
      <w:pPr>
        <w:pStyle w:val="ProductList-Offering2Heading"/>
        <w:keepNext/>
        <w:tabs>
          <w:tab w:val="clear" w:pos="360"/>
          <w:tab w:val="clear" w:pos="720"/>
          <w:tab w:val="clear" w:pos="1080"/>
        </w:tabs>
        <w:outlineLvl w:val="2"/>
      </w:pPr>
      <w:bookmarkStart w:id="187" w:name="_Toc214456789"/>
      <w:bookmarkEnd w:id="183"/>
      <w:r>
        <w:t>Azure Container Registry</w:t>
      </w:r>
      <w:bookmarkEnd w:id="184"/>
      <w:bookmarkEnd w:id="187"/>
    </w:p>
    <w:p w14:paraId="05E63E28" w14:textId="77777777" w:rsidR="00491D0A" w:rsidRPr="00EF7CF9" w:rsidRDefault="00491D0A" w:rsidP="00F01ED6">
      <w:pPr>
        <w:pStyle w:val="ProductList-Body"/>
        <w:keepNext/>
        <w:rPr>
          <w:rFonts w:cstheme="minorHAnsi"/>
          <w:b/>
          <w:color w:val="00188F"/>
          <w:szCs w:val="18"/>
        </w:rPr>
      </w:pPr>
      <w:r>
        <w:rPr>
          <w:rFonts w:cstheme="minorHAnsi"/>
          <w:b/>
          <w:color w:val="00188F"/>
          <w:szCs w:val="18"/>
        </w:rPr>
        <w:t>Definições Adicionais</w:t>
      </w:r>
      <w:r w:rsidRPr="00473DD3">
        <w:rPr>
          <w:rFonts w:cstheme="minorHAnsi"/>
          <w:b/>
          <w:color w:val="00188F"/>
          <w:szCs w:val="18"/>
        </w:rPr>
        <w:t>:</w:t>
      </w:r>
    </w:p>
    <w:p w14:paraId="6CEB28A5" w14:textId="3F6A5410"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Registo</w:t>
      </w:r>
      <w:r w:rsidR="00491D0A">
        <w:rPr>
          <w:rFonts w:eastAsia="Calibri" w:cstheme="minorHAnsi"/>
          <w:b/>
          <w:sz w:val="18"/>
          <w:szCs w:val="18"/>
        </w:rPr>
        <w:t xml:space="preserve"> </w:t>
      </w:r>
      <w:r w:rsidR="00491D0A">
        <w:rPr>
          <w:rFonts w:cstheme="minorHAnsi"/>
          <w:b/>
          <w:color w:val="00188F"/>
          <w:sz w:val="18"/>
          <w:szCs w:val="18"/>
        </w:rPr>
        <w:t>Gerido</w:t>
      </w:r>
      <w:r>
        <w:rPr>
          <w:rFonts w:eastAsia="Calibri" w:cstheme="minorHAnsi"/>
          <w:sz w:val="18"/>
          <w:szCs w:val="18"/>
        </w:rPr>
        <w:t>”</w:t>
      </w:r>
      <w:r w:rsidR="00491D0A">
        <w:rPr>
          <w:rFonts w:eastAsia="Calibri" w:cstheme="minorHAnsi"/>
          <w:sz w:val="18"/>
          <w:szCs w:val="18"/>
        </w:rPr>
        <w:t xml:space="preserve"> designa qualquer instância do Registo de Contentores Basic, Standard ou Premium.</w:t>
      </w:r>
    </w:p>
    <w:p w14:paraId="148330EA" w14:textId="3729EF31"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Parâmetro</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nome do anfitrião a partir do qual um determinado Registo Gerido é acedido pelos clientes para executarem operações relacionadas com o Registo de Contentores. </w:t>
      </w:r>
    </w:p>
    <w:p w14:paraId="07F834F0" w14:textId="297D75FA"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conjunto de pedidos de transações enviados pelo cliente para o Parâmetro do Registo. </w:t>
      </w:r>
    </w:p>
    <w:p w14:paraId="009FC995" w14:textId="2E93592D" w:rsidR="00491D0A" w:rsidRPr="00ED4527" w:rsidRDefault="00EE6E3C" w:rsidP="00F01ED6">
      <w:pPr>
        <w:spacing w:after="0" w:line="240" w:lineRule="auto"/>
        <w:rPr>
          <w:rFonts w:eastAsia="Calibri" w:cstheme="minorHAnsi"/>
          <w:b/>
          <w:bCs/>
          <w:color w:val="00188F"/>
          <w:sz w:val="18"/>
          <w:szCs w:val="18"/>
        </w:rPr>
      </w:pPr>
      <w:r>
        <w:rPr>
          <w:rFonts w:eastAsia="Calibri" w:cstheme="minorHAnsi"/>
          <w:b/>
          <w:bCs/>
          <w:color w:val="00188F"/>
          <w:sz w:val="18"/>
          <w:szCs w:val="18"/>
        </w:rPr>
        <w:t>Cálculo do Período de Disponibilidade e Níveis de Serviço para o Registo Gerido de Contentores</w:t>
      </w:r>
    </w:p>
    <w:p w14:paraId="0D05033E" w14:textId="17928601" w:rsidR="00491D0A" w:rsidRPr="00EF7CF9" w:rsidRDefault="00380305" w:rsidP="00F01ED6">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Máximo de</w:t>
      </w:r>
      <w:r w:rsidR="00491D0A">
        <w:rPr>
          <w:rFonts w:eastAsia="Calibri" w:cstheme="minorHAnsi"/>
          <w:b/>
          <w:bCs/>
          <w:sz w:val="18"/>
          <w:szCs w:val="18"/>
        </w:rPr>
        <w:t xml:space="preserve"> </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Registo Gerido de Contentores foi implementado pelo Cliente numa subscrição da Microsoft durante um Período Aplicável.</w:t>
      </w:r>
    </w:p>
    <w:p w14:paraId="145A1826" w14:textId="388C886C"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lastRenderedPageBreak/>
        <w:t>“</w:t>
      </w:r>
      <w:r w:rsidR="00491D0A">
        <w:rPr>
          <w:rFonts w:cstheme="minorHAnsi"/>
          <w:b/>
          <w:color w:val="00188F"/>
          <w:sz w:val="18"/>
          <w:szCs w:val="18"/>
        </w:rPr>
        <w:t>Período de Indisponibilidade</w:t>
      </w:r>
      <w:r>
        <w:rPr>
          <w:rFonts w:eastAsia="Calibri" w:cstheme="minorHAnsi"/>
          <w:sz w:val="18"/>
          <w:szCs w:val="18"/>
        </w:rPr>
        <w:t>”</w:t>
      </w:r>
      <w:r w:rsidR="00491D0A">
        <w:rPr>
          <w:rFonts w:eastAsia="Calibri" w:cstheme="minorHAnsi"/>
          <w:sz w:val="18"/>
          <w:szCs w:val="18"/>
        </w:rPr>
        <w:t xml:space="preserve"> designa o número total de minutos no Máximo de Minutos Disponíveis durante o qual o Registo Gerido está indisponível. Um minuto é considerado indisponível se todas as tentativas contínuas para enviar Transações do Registo recebem um Código de Erro</w:t>
      </w:r>
      <w:r w:rsidR="00A54B67">
        <w:rPr>
          <w:rFonts w:eastAsia="Calibri" w:cstheme="minorHAnsi"/>
          <w:sz w:val="18"/>
          <w:szCs w:val="18"/>
        </w:rPr>
        <w:t> </w:t>
      </w:r>
      <w:r w:rsidR="00491D0A">
        <w:rPr>
          <w:rFonts w:eastAsia="Calibri" w:cstheme="minorHAnsi"/>
          <w:sz w:val="18"/>
          <w:szCs w:val="18"/>
        </w:rPr>
        <w:t>ou não respondem no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F01ED6">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Transação</w:t>
            </w:r>
          </w:p>
        </w:tc>
        <w:tc>
          <w:tcPr>
            <w:tcW w:w="2500" w:type="pct"/>
            <w:shd w:val="clear" w:color="auto" w:fill="0070C0"/>
          </w:tcPr>
          <w:p w14:paraId="1656A56F" w14:textId="77777777" w:rsidR="00491D0A" w:rsidRPr="00D30B89" w:rsidRDefault="00491D0A" w:rsidP="00F01ED6">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391FE2" w:rsidRDefault="00491D0A" w:rsidP="008E18CD">
            <w:pPr>
              <w:keepNext/>
              <w:spacing w:before="20" w:after="20"/>
              <w:jc w:val="center"/>
              <w:rPr>
                <w:rFonts w:eastAsia="Calibri" w:cstheme="minorHAnsi"/>
                <w:b w:val="0"/>
                <w:sz w:val="16"/>
                <w:szCs w:val="16"/>
              </w:rPr>
            </w:pPr>
            <w:r w:rsidRPr="00391FE2">
              <w:rPr>
                <w:rFonts w:eastAsia="Calibri" w:cstheme="minorHAnsi"/>
                <w:b w:val="0"/>
                <w:sz w:val="16"/>
                <w:szCs w:val="16"/>
              </w:rPr>
              <w:t>Lista (Repositório, Manifestos, Etiquetas)</w:t>
            </w:r>
          </w:p>
        </w:tc>
        <w:tc>
          <w:tcPr>
            <w:tcW w:w="2500" w:type="pct"/>
          </w:tcPr>
          <w:p w14:paraId="3388B82A" w14:textId="77777777" w:rsidR="00491D0A" w:rsidRPr="00391FE2"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391FE2" w:rsidRDefault="00491D0A" w:rsidP="008E18CD">
            <w:pPr>
              <w:spacing w:before="20" w:after="20"/>
              <w:jc w:val="center"/>
              <w:rPr>
                <w:rFonts w:eastAsia="Calibri" w:cstheme="minorHAnsi"/>
                <w:b w:val="0"/>
                <w:sz w:val="16"/>
                <w:szCs w:val="16"/>
              </w:rPr>
            </w:pPr>
            <w:r w:rsidRPr="00391FE2">
              <w:rPr>
                <w:rFonts w:eastAsia="Calibri" w:cstheme="minorHAnsi"/>
                <w:b w:val="0"/>
                <w:sz w:val="16"/>
                <w:szCs w:val="16"/>
              </w:rPr>
              <w:t>Outros</w:t>
            </w:r>
          </w:p>
        </w:tc>
        <w:tc>
          <w:tcPr>
            <w:tcW w:w="2500" w:type="pct"/>
          </w:tcPr>
          <w:p w14:paraId="4B4DD1DD" w14:textId="77777777" w:rsidR="00491D0A" w:rsidRPr="00391FE2"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1 Minuto</w:t>
            </w:r>
          </w:p>
        </w:tc>
      </w:tr>
    </w:tbl>
    <w:p w14:paraId="61A3F4B8" w14:textId="49B1601F" w:rsidR="00491D0A" w:rsidRPr="00EF7CF9" w:rsidRDefault="00491D0A" w:rsidP="000C1785">
      <w:pPr>
        <w:pStyle w:val="ProductList-Body"/>
        <w:spacing w:before="120" w:after="120"/>
        <w:rPr>
          <w:rFonts w:eastAsia="Calibri" w:cstheme="minorHAnsi"/>
          <w:szCs w:val="18"/>
        </w:rPr>
      </w:pPr>
      <w:r>
        <w:t xml:space="preserve">A </w:t>
      </w:r>
      <w:r w:rsidR="00380305">
        <w:rPr>
          <w:rFonts w:eastAsia="Calibri" w:cstheme="minorHAnsi"/>
          <w:szCs w:val="18"/>
        </w:rPr>
        <w:t>“</w:t>
      </w:r>
      <w:r>
        <w:rPr>
          <w:rFonts w:cstheme="minorHAnsi"/>
          <w:b/>
          <w:color w:val="00188F"/>
          <w:szCs w:val="18"/>
        </w:rPr>
        <w:t>Percentagem de Período de Disponibilidade</w:t>
      </w:r>
      <w:r w:rsidR="00380305">
        <w:rPr>
          <w:rFonts w:eastAsia="Calibri" w:cstheme="minorHAnsi"/>
          <w:szCs w:val="18"/>
        </w:rPr>
        <w:t>”</w:t>
      </w:r>
      <w:r>
        <w:rPr>
          <w:rFonts w:eastAsia="Calibri" w:cstheme="minorHAnsi"/>
          <w:szCs w:val="18"/>
        </w:rPr>
        <w:t xml:space="preserve"> para o Registo Gerido de Contentores é calculada com a seguinte fórmula: </w:t>
      </w:r>
    </w:p>
    <w:p w14:paraId="3D465282" w14:textId="1F92ED02" w:rsidR="00491D0A" w:rsidRPr="00EF7CF9" w:rsidRDefault="008E7C1C" w:rsidP="00E430E1">
      <w:pPr>
        <w:spacing w:before="120" w:after="120" w:line="240"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1E0CE1">
      <w:pPr>
        <w:keepNext/>
        <w:spacing w:after="0" w:line="240" w:lineRule="auto"/>
        <w:rPr>
          <w:rFonts w:cstheme="minorHAnsi"/>
          <w:b/>
          <w:color w:val="00188F"/>
          <w:sz w:val="18"/>
          <w:szCs w:val="18"/>
        </w:rPr>
      </w:pPr>
      <w:r>
        <w:rPr>
          <w:rFonts w:cstheme="minorHAnsi"/>
          <w:b/>
          <w:color w:val="00188F"/>
          <w:sz w:val="18"/>
          <w:szCs w:val="18"/>
        </w:rPr>
        <w:t>Crédito de Serviço</w:t>
      </w:r>
      <w:r w:rsidRPr="00473DD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8E18CD" w:rsidRDefault="00AC48A7" w:rsidP="008E18CD">
            <w:pPr>
              <w:pStyle w:val="ProductList-OfferingBody"/>
              <w:keepNext/>
              <w:jc w:val="center"/>
              <w:rPr>
                <w:b w:val="0"/>
                <w:bCs w:val="0"/>
                <w:color w:val="FFFFFF" w:themeColor="background1"/>
                <w:szCs w:val="16"/>
              </w:rPr>
            </w:pPr>
            <w:r w:rsidRPr="008E18CD">
              <w:rPr>
                <w:b w:val="0"/>
                <w:bCs w:val="0"/>
                <w:color w:val="FFFFFF" w:themeColor="background1"/>
                <w:szCs w:val="16"/>
              </w:rPr>
              <w:t xml:space="preserve">Percentagem de Período de Disponibilidade </w:t>
            </w:r>
          </w:p>
        </w:tc>
        <w:tc>
          <w:tcPr>
            <w:tcW w:w="2500" w:type="pct"/>
            <w:shd w:val="clear" w:color="auto" w:fill="0070C0"/>
          </w:tcPr>
          <w:p w14:paraId="315157CE" w14:textId="77777777" w:rsidR="00491D0A" w:rsidRPr="008E18CD" w:rsidRDefault="00491D0A" w:rsidP="008E18C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8E18CD">
              <w:rPr>
                <w:rFonts w:eastAsiaTheme="minorHAnsi"/>
                <w:b w:val="0"/>
                <w:bCs w:val="0"/>
                <w:color w:val="FFFFFF" w:themeColor="background1"/>
                <w:sz w:val="16"/>
                <w:szCs w:val="16"/>
              </w:rPr>
              <w:t>Crédito de Serviço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8E18CD" w:rsidRDefault="00491D0A" w:rsidP="008E18CD">
            <w:pPr>
              <w:keepNext/>
              <w:spacing w:before="20" w:after="20"/>
              <w:jc w:val="center"/>
              <w:rPr>
                <w:rFonts w:cstheme="minorHAnsi"/>
                <w:b w:val="0"/>
                <w:sz w:val="16"/>
                <w:szCs w:val="16"/>
              </w:rPr>
            </w:pPr>
            <w:r w:rsidRPr="008E18CD">
              <w:rPr>
                <w:rFonts w:cstheme="minorHAnsi"/>
                <w:b w:val="0"/>
                <w:sz w:val="16"/>
                <w:szCs w:val="16"/>
              </w:rPr>
              <w:t>&lt; 99,9%</w:t>
            </w:r>
          </w:p>
        </w:tc>
        <w:tc>
          <w:tcPr>
            <w:tcW w:w="2500" w:type="pct"/>
          </w:tcPr>
          <w:p w14:paraId="371E2752" w14:textId="77777777" w:rsidR="00491D0A" w:rsidRPr="008E18CD"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8E18CD" w:rsidRDefault="00491D0A" w:rsidP="008E18CD">
            <w:pPr>
              <w:spacing w:before="20" w:after="20"/>
              <w:jc w:val="center"/>
              <w:rPr>
                <w:rFonts w:cstheme="minorHAnsi"/>
                <w:b w:val="0"/>
                <w:sz w:val="16"/>
                <w:szCs w:val="16"/>
              </w:rPr>
            </w:pPr>
            <w:r w:rsidRPr="008E18CD">
              <w:rPr>
                <w:rFonts w:cstheme="minorHAnsi"/>
                <w:b w:val="0"/>
                <w:sz w:val="16"/>
                <w:szCs w:val="16"/>
              </w:rPr>
              <w:t>&lt; 99%</w:t>
            </w:r>
          </w:p>
        </w:tc>
        <w:tc>
          <w:tcPr>
            <w:tcW w:w="2500" w:type="pct"/>
          </w:tcPr>
          <w:p w14:paraId="7DD34A5C" w14:textId="77777777" w:rsidR="00491D0A" w:rsidRPr="008E18CD"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25%</w:t>
            </w:r>
          </w:p>
        </w:tc>
      </w:tr>
    </w:tbl>
    <w:p w14:paraId="406EF9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004D553" w14:textId="77777777" w:rsidR="00491D0A" w:rsidRPr="00EF7CF9" w:rsidRDefault="00491D0A" w:rsidP="00F01ED6">
      <w:pPr>
        <w:pStyle w:val="ProductList-Offering2Heading"/>
        <w:tabs>
          <w:tab w:val="clear" w:pos="360"/>
          <w:tab w:val="clear" w:pos="720"/>
          <w:tab w:val="clear" w:pos="1080"/>
        </w:tabs>
        <w:outlineLvl w:val="2"/>
      </w:pPr>
      <w:bookmarkStart w:id="188" w:name="_Toc214456790"/>
      <w:r>
        <w:t>Rede de Distribuição de Conteúdos (CDN)</w:t>
      </w:r>
      <w:bookmarkEnd w:id="188"/>
    </w:p>
    <w:p w14:paraId="3478C418" w14:textId="7A50E535" w:rsidR="00491D0A" w:rsidRDefault="00EE6E3C" w:rsidP="00F01ED6">
      <w:pPr>
        <w:pStyle w:val="ProductList-Body"/>
        <w:rPr>
          <w:b/>
          <w:color w:val="00188F"/>
        </w:rPr>
      </w:pPr>
      <w:r>
        <w:rPr>
          <w:b/>
          <w:color w:val="00188F"/>
        </w:rPr>
        <w:t>Cálculo do Período de Disponibilidade e Níveis de Serviço para o Serviço CDN</w:t>
      </w:r>
    </w:p>
    <w:p w14:paraId="180798A0" w14:textId="77777777" w:rsidR="00491D0A" w:rsidRPr="00EF7CF9" w:rsidRDefault="00491D0A" w:rsidP="00F01ED6">
      <w:pPr>
        <w:pStyle w:val="ProductList-Body"/>
      </w:pPr>
      <w:r>
        <w:t>A Microsoft analisará os dados de qualquer sistema de medição independente razoável do ponto de vista comercial utilizado pelo Cliente.</w:t>
      </w:r>
    </w:p>
    <w:p w14:paraId="7676E5AC" w14:textId="77777777" w:rsidR="00491D0A" w:rsidRPr="00B06E74" w:rsidRDefault="00491D0A" w:rsidP="00F01ED6">
      <w:pPr>
        <w:pStyle w:val="ProductList-Body"/>
        <w:rPr>
          <w:sz w:val="12"/>
          <w:szCs w:val="12"/>
        </w:rPr>
      </w:pPr>
    </w:p>
    <w:p w14:paraId="4A55F67D" w14:textId="77777777" w:rsidR="00491D0A" w:rsidRPr="00EF7CF9" w:rsidRDefault="00491D0A" w:rsidP="00F01ED6">
      <w:pPr>
        <w:pStyle w:val="ProductList-Body"/>
      </w:pPr>
      <w:r>
        <w:t>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w:t>
      </w:r>
    </w:p>
    <w:p w14:paraId="5EDDEEC0" w14:textId="77777777" w:rsidR="00491D0A" w:rsidRPr="00B06E74" w:rsidRDefault="00491D0A" w:rsidP="00F01ED6">
      <w:pPr>
        <w:pStyle w:val="ProductList-Body"/>
        <w:rPr>
          <w:sz w:val="12"/>
          <w:szCs w:val="12"/>
        </w:rPr>
      </w:pPr>
    </w:p>
    <w:p w14:paraId="031D37AF" w14:textId="77777777" w:rsidR="00491D0A" w:rsidRPr="00EF7CF9" w:rsidRDefault="00491D0A" w:rsidP="00F01ED6">
      <w:pPr>
        <w:pStyle w:val="ProductList-Body"/>
      </w:pPr>
      <w:r>
        <w:t>Os testes do Sistema de Medição (frequência de pelo menos um teste por hora por agente) serão configurados para executar uma operação HTTP GET de acordo com o modelo abaixo:</w:t>
      </w:r>
    </w:p>
    <w:p w14:paraId="12EDF8B0" w14:textId="43E22733" w:rsidR="00491D0A" w:rsidRPr="00EF7CF9" w:rsidRDefault="00491D0A" w:rsidP="00F01ED6">
      <w:pPr>
        <w:pStyle w:val="ProductList-Body"/>
        <w:numPr>
          <w:ilvl w:val="0"/>
          <w:numId w:val="2"/>
        </w:numPr>
        <w:ind w:left="720" w:hanging="360"/>
      </w:pPr>
      <w:r>
        <w:t>Um ficheiro de teste será colocado na origem do Cliente (por exemplo, conta de Armazenamento do Azure).</w:t>
      </w:r>
    </w:p>
    <w:p w14:paraId="4E6A2FB0" w14:textId="77777777" w:rsidR="00491D0A" w:rsidRPr="00EF7CF9" w:rsidRDefault="00491D0A" w:rsidP="00F01ED6">
      <w:pPr>
        <w:pStyle w:val="ProductList-Body"/>
        <w:numPr>
          <w:ilvl w:val="0"/>
          <w:numId w:val="2"/>
        </w:numPr>
        <w:ind w:left="720" w:hanging="360"/>
      </w:pPr>
      <w:r>
        <w:t xml:space="preserve">A operação GET obterá o ficheiro através do Serviço CDN, pedindo o objeto do nome do anfitrião correspondente ao nome de domínio do Microsoft Azure. </w:t>
      </w:r>
    </w:p>
    <w:p w14:paraId="5AB442CF" w14:textId="77777777" w:rsidR="00491D0A" w:rsidRPr="00EF7CF9" w:rsidRDefault="00491D0A" w:rsidP="00F01ED6">
      <w:pPr>
        <w:pStyle w:val="ProductList-Body"/>
        <w:numPr>
          <w:ilvl w:val="0"/>
          <w:numId w:val="2"/>
        </w:numPr>
        <w:ind w:left="720" w:hanging="360"/>
      </w:pPr>
      <w:r>
        <w:t>O ficheiro de teste cumprirá os seguintes critérios:</w:t>
      </w:r>
    </w:p>
    <w:p w14:paraId="5073F12A" w14:textId="7DB1C82C" w:rsidR="00491D0A" w:rsidRPr="00EF7CF9" w:rsidRDefault="00491D0A" w:rsidP="00F01ED6">
      <w:pPr>
        <w:pStyle w:val="ProductList-Body"/>
        <w:numPr>
          <w:ilvl w:val="0"/>
          <w:numId w:val="3"/>
        </w:numPr>
        <w:tabs>
          <w:tab w:val="clear" w:pos="360"/>
          <w:tab w:val="clear" w:pos="720"/>
        </w:tabs>
        <w:ind w:hanging="360"/>
      </w:pPr>
      <w:r>
        <w:t xml:space="preserve">O objeto de teste permitirá colocar em cache incluindo os cabeçalhos explícitos </w:t>
      </w:r>
      <w:r w:rsidR="00380305">
        <w:t>“</w:t>
      </w:r>
      <w:r>
        <w:t>Controlo da cache: público</w:t>
      </w:r>
      <w:r w:rsidR="00380305">
        <w:t>”</w:t>
      </w:r>
      <w:r>
        <w:t xml:space="preserve"> ou a falta do cabeçalho </w:t>
      </w:r>
      <w:r w:rsidR="00380305">
        <w:t>“</w:t>
      </w:r>
      <w:r>
        <w:t>Controlo da cache: privado</w:t>
      </w:r>
      <w:r w:rsidR="00380305">
        <w:t>”</w:t>
      </w:r>
      <w:r>
        <w:t>.</w:t>
      </w:r>
    </w:p>
    <w:p w14:paraId="0AF7BCAA" w14:textId="77777777" w:rsidR="00491D0A" w:rsidRPr="00EF7CF9" w:rsidRDefault="00491D0A" w:rsidP="00F01ED6">
      <w:pPr>
        <w:pStyle w:val="ProductList-Body"/>
        <w:numPr>
          <w:ilvl w:val="0"/>
          <w:numId w:val="3"/>
        </w:numPr>
        <w:tabs>
          <w:tab w:val="clear" w:pos="360"/>
          <w:tab w:val="clear" w:pos="720"/>
        </w:tabs>
        <w:ind w:hanging="360"/>
      </w:pPr>
      <w:r>
        <w:t>O objeto de teste será um ficheiro com um tamanho entre 50 KB e 1 MB.</w:t>
      </w:r>
    </w:p>
    <w:p w14:paraId="5D0D8884" w14:textId="77777777" w:rsidR="00491D0A" w:rsidRPr="00EF7CF9" w:rsidRDefault="00491D0A" w:rsidP="00F01ED6">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p>
    <w:p w14:paraId="6B3B2A15" w14:textId="77777777" w:rsidR="00491D0A" w:rsidRPr="00B06E74" w:rsidRDefault="00491D0A" w:rsidP="00F01ED6">
      <w:pPr>
        <w:pStyle w:val="ProductList-Body"/>
        <w:rPr>
          <w:sz w:val="12"/>
          <w:szCs w:val="12"/>
        </w:rPr>
      </w:pPr>
    </w:p>
    <w:p w14:paraId="57CA6AAD" w14:textId="608796EC" w:rsidR="00491D0A" w:rsidRPr="00EF7CF9" w:rsidRDefault="00380305" w:rsidP="00F01ED6">
      <w:pPr>
        <w:pStyle w:val="ProductList-Body"/>
      </w:pPr>
      <w:r w:rsidRPr="00380305">
        <w:t>“</w:t>
      </w:r>
      <w:r w:rsidR="00491D0A">
        <w:rPr>
          <w:b/>
          <w:color w:val="00188F"/>
        </w:rPr>
        <w:t>Percentagem de Período de Disponibilidade</w:t>
      </w:r>
      <w:r>
        <w:t>”</w:t>
      </w:r>
      <w:r w:rsidR="00491D0A">
        <w:t xml:space="preserve"> é a percentagem de transações de HTTP em que o CDN responde aos pedidos de cliente e fornece o</w:t>
      </w:r>
      <w:r w:rsidR="00336C28">
        <w:t> </w:t>
      </w:r>
      <w:r w:rsidR="00491D0A">
        <w:t>conteúdo pedido sem erro. A Percentagem de Período de Disponibilidade do Serviço CDN é calculada como o número de vezes que o objeto foi fornecido com êxito a dividir pelo número total de pedidos (depois de remover dados incorretos.</w:t>
      </w:r>
    </w:p>
    <w:p w14:paraId="0B6B6337" w14:textId="77777777" w:rsidR="00491D0A" w:rsidRPr="00B06E74" w:rsidRDefault="00491D0A" w:rsidP="00F01ED6">
      <w:pPr>
        <w:pStyle w:val="ProductList-Body"/>
        <w:rPr>
          <w:sz w:val="12"/>
          <w:szCs w:val="12"/>
        </w:rPr>
      </w:pPr>
    </w:p>
    <w:p w14:paraId="31C9EBD4" w14:textId="77777777" w:rsidR="00491D0A" w:rsidRPr="00EF7CF9" w:rsidRDefault="00491D0A" w:rsidP="00F01ED6">
      <w:pPr>
        <w:pStyle w:val="ProductList-Body"/>
        <w:keepNext/>
      </w:pPr>
      <w:r>
        <w:rPr>
          <w:b/>
          <w:color w:val="00188F"/>
        </w:rPr>
        <w:t>Os seguintes Níveis de Serviço e Créditos de Serviço são aplicáveis à utilização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A60ED2" w14:textId="77777777" w:rsidR="00491D0A" w:rsidRPr="00EF7CF9" w:rsidRDefault="00491D0A" w:rsidP="00F01ED6">
            <w:pPr>
              <w:pStyle w:val="ProductList-OfferingBody"/>
              <w:jc w:val="center"/>
              <w:rPr>
                <w:color w:val="FFFFFF" w:themeColor="background1"/>
              </w:rPr>
            </w:pPr>
            <w:r>
              <w:rPr>
                <w:color w:val="FFFFFF" w:themeColor="background1"/>
              </w:rPr>
              <w:t>Crédito de Serviço</w:t>
            </w:r>
          </w:p>
        </w:tc>
      </w:tr>
      <w:tr w:rsidR="00491D0A" w:rsidRPr="00B44CF9" w14:paraId="38D892B3" w14:textId="77777777" w:rsidTr="00277097">
        <w:tc>
          <w:tcPr>
            <w:tcW w:w="5400" w:type="dxa"/>
          </w:tcPr>
          <w:p w14:paraId="6E1804D2" w14:textId="77777777" w:rsidR="00491D0A" w:rsidRPr="00EF7CF9" w:rsidRDefault="00491D0A" w:rsidP="00F01ED6">
            <w:pPr>
              <w:pStyle w:val="ProductList-OfferingBody"/>
              <w:jc w:val="center"/>
            </w:pPr>
            <w:r>
              <w:t>&lt; 99,9%</w:t>
            </w:r>
          </w:p>
        </w:tc>
        <w:tc>
          <w:tcPr>
            <w:tcW w:w="5400" w:type="dxa"/>
          </w:tcPr>
          <w:p w14:paraId="2A7DD81D" w14:textId="77777777" w:rsidR="00491D0A" w:rsidRPr="00EF7CF9" w:rsidRDefault="00491D0A" w:rsidP="00F01ED6">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F01ED6">
            <w:pPr>
              <w:pStyle w:val="ProductList-OfferingBody"/>
              <w:jc w:val="center"/>
            </w:pPr>
            <w:r>
              <w:t>&lt; 99,5%</w:t>
            </w:r>
          </w:p>
        </w:tc>
        <w:tc>
          <w:tcPr>
            <w:tcW w:w="5400" w:type="dxa"/>
          </w:tcPr>
          <w:p w14:paraId="4C707CCD" w14:textId="77777777" w:rsidR="00491D0A" w:rsidRPr="00EF7CF9" w:rsidRDefault="00491D0A" w:rsidP="00F01ED6">
            <w:pPr>
              <w:pStyle w:val="ProductList-OfferingBody"/>
              <w:jc w:val="center"/>
            </w:pPr>
            <w:r>
              <w:t>25%</w:t>
            </w:r>
          </w:p>
        </w:tc>
      </w:tr>
    </w:tbl>
    <w:p w14:paraId="5B83743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B41157E" w14:textId="459F39B0" w:rsidR="004005AF" w:rsidRPr="00EF7CF9" w:rsidRDefault="004005AF" w:rsidP="00F01ED6">
      <w:pPr>
        <w:pStyle w:val="ProductList-Offering2Heading"/>
        <w:keepNext/>
        <w:tabs>
          <w:tab w:val="clear" w:pos="360"/>
          <w:tab w:val="clear" w:pos="720"/>
          <w:tab w:val="clear" w:pos="1080"/>
        </w:tabs>
        <w:outlineLvl w:val="2"/>
      </w:pPr>
      <w:bookmarkStart w:id="189" w:name="_Toc214456791"/>
      <w:r>
        <w:t>Azure Cosmos DB</w:t>
      </w:r>
      <w:bookmarkEnd w:id="146"/>
      <w:bookmarkEnd w:id="185"/>
      <w:bookmarkEnd w:id="189"/>
    </w:p>
    <w:bookmarkEnd w:id="186"/>
    <w:p w14:paraId="6AE25B56" w14:textId="77777777" w:rsidR="004005AF" w:rsidRPr="00401AE7" w:rsidRDefault="004005AF" w:rsidP="00F01ED6">
      <w:pPr>
        <w:pStyle w:val="ProductList-Body"/>
        <w:rPr>
          <w:bCs/>
          <w:color w:val="000000" w:themeColor="text1"/>
        </w:rPr>
      </w:pPr>
      <w:r>
        <w:rPr>
          <w:bCs/>
          <w:color w:val="000000" w:themeColor="text1"/>
        </w:rPr>
        <w:t>Os detalhes do SLA enumerados para o serviço Azure Cosmos DB incluem as seguintes APIs de base de dados com diferentes definições e detalhes para a API para PostgreSQL das APIs de base de dados restantes:</w:t>
      </w:r>
    </w:p>
    <w:p w14:paraId="08D6E6E9" w14:textId="77777777" w:rsidR="004005AF" w:rsidRDefault="004005AF" w:rsidP="00F01ED6">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NoSQL</w:t>
      </w:r>
    </w:p>
    <w:p w14:paraId="3E4C3F17" w14:textId="2AE0A4CE" w:rsidR="004005AF" w:rsidRPr="00401AE7" w:rsidRDefault="004005AF" w:rsidP="00F01ED6">
      <w:pPr>
        <w:pStyle w:val="ProductList-Body"/>
        <w:numPr>
          <w:ilvl w:val="0"/>
          <w:numId w:val="16"/>
        </w:numPr>
        <w:rPr>
          <w:bCs/>
          <w:color w:val="000000" w:themeColor="text1"/>
        </w:rPr>
      </w:pPr>
      <w:r>
        <w:rPr>
          <w:bCs/>
          <w:color w:val="000000" w:themeColor="text1"/>
        </w:rPr>
        <w:t>Azure Cosmos DB for MongoDB</w:t>
      </w:r>
      <w:r w:rsidR="009A306C">
        <w:rPr>
          <w:bCs/>
          <w:color w:val="000000" w:themeColor="text1"/>
        </w:rPr>
        <w:t xml:space="preserve"> RU</w:t>
      </w:r>
    </w:p>
    <w:p w14:paraId="0E1D327F"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F01ED6">
      <w:pPr>
        <w:pStyle w:val="ProductList-Body"/>
        <w:numPr>
          <w:ilvl w:val="0"/>
          <w:numId w:val="16"/>
        </w:numPr>
        <w:rPr>
          <w:bCs/>
          <w:color w:val="000000" w:themeColor="text1"/>
        </w:rPr>
      </w:pPr>
      <w:r>
        <w:rPr>
          <w:bCs/>
          <w:color w:val="000000" w:themeColor="text1"/>
        </w:rPr>
        <w:lastRenderedPageBreak/>
        <w:t>Azure Cosmos DB for Table</w:t>
      </w:r>
    </w:p>
    <w:p w14:paraId="38F20080" w14:textId="77777777" w:rsidR="004005AF" w:rsidRPr="00B06E74" w:rsidRDefault="004005AF" w:rsidP="00F01ED6">
      <w:pPr>
        <w:pStyle w:val="ProductList-Body"/>
        <w:rPr>
          <w:b/>
          <w:color w:val="00188F"/>
          <w:sz w:val="12"/>
          <w:szCs w:val="12"/>
        </w:rPr>
      </w:pPr>
    </w:p>
    <w:p w14:paraId="3709F8C1" w14:textId="77777777" w:rsidR="004005AF" w:rsidRDefault="004005AF" w:rsidP="00F01ED6">
      <w:pPr>
        <w:pStyle w:val="ProductList-Body"/>
        <w:rPr>
          <w:b/>
          <w:color w:val="00188F"/>
        </w:rPr>
      </w:pPr>
      <w:r>
        <w:rPr>
          <w:b/>
          <w:color w:val="00188F"/>
        </w:rPr>
        <w:t>Microsoft Azure Cosmos DB for PostgreSQL</w:t>
      </w:r>
    </w:p>
    <w:p w14:paraId="1498DE2E" w14:textId="5C8022FA" w:rsidR="004005AF" w:rsidRPr="00AC11E3" w:rsidRDefault="00380305" w:rsidP="00F01ED6">
      <w:pPr>
        <w:pStyle w:val="ProductList-Body"/>
        <w:rPr>
          <w:bCs/>
          <w:color w:val="000000" w:themeColor="text1"/>
        </w:rPr>
      </w:pPr>
      <w:r w:rsidRPr="00380305">
        <w:t>“</w:t>
      </w:r>
      <w:r w:rsidR="004005AF">
        <w:rPr>
          <w:b/>
          <w:color w:val="00188F"/>
        </w:rPr>
        <w:t>Servidor</w:t>
      </w:r>
      <w:r w:rsidRPr="00380305">
        <w:t>”</w:t>
      </w:r>
      <w:r w:rsidR="004005AF">
        <w:rPr>
          <w:bCs/>
          <w:color w:val="000000" w:themeColor="text1"/>
        </w:rPr>
        <w:t xml:space="preserve"> designa qualquer servidor específico do Azure Cosmos DB for PostgreSQL.</w:t>
      </w:r>
    </w:p>
    <w:p w14:paraId="47904AED" w14:textId="39D5A5E1" w:rsidR="004005AF" w:rsidRPr="00AC11E3" w:rsidRDefault="00380305" w:rsidP="00F01ED6">
      <w:pPr>
        <w:pStyle w:val="ProductList-Body"/>
        <w:rPr>
          <w:bCs/>
          <w:color w:val="000000" w:themeColor="text1"/>
        </w:rPr>
      </w:pPr>
      <w:r w:rsidRPr="00380305">
        <w:t>“</w:t>
      </w:r>
      <w:r w:rsidR="004005AF">
        <w:rPr>
          <w:b/>
          <w:color w:val="00188F"/>
        </w:rPr>
        <w:t>Cluster de Elevada Disponibilidade</w:t>
      </w:r>
      <w:r w:rsidRPr="00380305">
        <w:t>”</w:t>
      </w:r>
      <w:r w:rsidR="004005AF">
        <w:rPr>
          <w:bCs/>
          <w:color w:val="000000" w:themeColor="text1"/>
        </w:rPr>
        <w:t xml:space="preserve"> designa um conjunto de Nós de Elevada Disponibilidade.</w:t>
      </w:r>
    </w:p>
    <w:p w14:paraId="05973321" w14:textId="60A58F59" w:rsidR="004005AF" w:rsidRPr="00AC11E3" w:rsidRDefault="00380305" w:rsidP="00F01ED6">
      <w:pPr>
        <w:pStyle w:val="ProductList-Body"/>
        <w:rPr>
          <w:bCs/>
          <w:color w:val="000000" w:themeColor="text1"/>
        </w:rPr>
      </w:pPr>
      <w:r w:rsidRPr="00380305">
        <w:t>“</w:t>
      </w:r>
      <w:r w:rsidR="004005AF">
        <w:rPr>
          <w:b/>
          <w:color w:val="00188F"/>
        </w:rPr>
        <w:t>Nó de Elevada Disponibilidade</w:t>
      </w:r>
      <w:r w:rsidRPr="00380305">
        <w:t>”</w:t>
      </w:r>
      <w:r w:rsidR="004005AF">
        <w:rPr>
          <w:bCs/>
          <w:color w:val="000000" w:themeColor="text1"/>
        </w:rPr>
        <w:t xml:space="preserve"> designa um Nó num cluster, com elevada disponibilidade ativada.</w:t>
      </w:r>
    </w:p>
    <w:p w14:paraId="149121FA" w14:textId="15ABCD16" w:rsidR="004005AF" w:rsidRPr="00AC11E3" w:rsidRDefault="00380305" w:rsidP="00F01ED6">
      <w:pPr>
        <w:pStyle w:val="ProductList-Body"/>
        <w:rPr>
          <w:bCs/>
          <w:color w:val="000000" w:themeColor="text1"/>
        </w:rPr>
      </w:pPr>
      <w:r w:rsidRPr="00380305">
        <w:t>“</w:t>
      </w:r>
      <w:r w:rsidR="004005AF">
        <w:rPr>
          <w:b/>
          <w:color w:val="00188F"/>
        </w:rPr>
        <w:t>Nó Coordenador</w:t>
      </w:r>
      <w:r w:rsidRPr="00380305">
        <w:t>”</w:t>
      </w:r>
      <w:r w:rsidR="004005AF">
        <w:rPr>
          <w:bCs/>
          <w:color w:val="000000" w:themeColor="text1"/>
        </w:rPr>
        <w:t xml:space="preserve"> é um Nó que é atribuído à função de Coordenador do Cluster.</w:t>
      </w:r>
    </w:p>
    <w:p w14:paraId="1ED13503" w14:textId="523DCB24" w:rsidR="004005AF" w:rsidRPr="00AC11E3" w:rsidRDefault="00380305" w:rsidP="00F01ED6">
      <w:pPr>
        <w:pStyle w:val="ProductList-Body"/>
        <w:rPr>
          <w:bCs/>
          <w:color w:val="000000" w:themeColor="text1"/>
        </w:rPr>
      </w:pPr>
      <w:r w:rsidRPr="00380305">
        <w:t>“</w:t>
      </w:r>
      <w:r w:rsidR="004005AF">
        <w:rPr>
          <w:b/>
          <w:color w:val="00188F"/>
        </w:rPr>
        <w:t>Nó de Trabalho</w:t>
      </w:r>
      <w:r w:rsidRPr="00380305">
        <w:t>”</w:t>
      </w:r>
      <w:r w:rsidR="004005AF">
        <w:rPr>
          <w:bCs/>
          <w:color w:val="000000" w:themeColor="text1"/>
        </w:rPr>
        <w:t xml:space="preserve"> é um Nó que é atribuído à função de Trabalho.</w:t>
      </w:r>
    </w:p>
    <w:p w14:paraId="5AEB689D" w14:textId="35F29574" w:rsidR="004005AF" w:rsidRPr="00AC11E3" w:rsidRDefault="00380305" w:rsidP="00F01ED6">
      <w:pPr>
        <w:pStyle w:val="ProductList-Body"/>
        <w:rPr>
          <w:bCs/>
          <w:color w:val="000000" w:themeColor="text1"/>
        </w:rPr>
      </w:pPr>
      <w:r w:rsidRPr="00380305">
        <w:t>“</w:t>
      </w:r>
      <w:r w:rsidR="004005AF">
        <w:rPr>
          <w:b/>
          <w:color w:val="00188F"/>
        </w:rPr>
        <w:t>Nó</w:t>
      </w:r>
      <w:r w:rsidRPr="00380305">
        <w:t>”</w:t>
      </w:r>
      <w:r w:rsidR="004005AF">
        <w:rPr>
          <w:bCs/>
          <w:color w:val="000000" w:themeColor="text1"/>
        </w:rPr>
        <w:t xml:space="preserve"> ou </w:t>
      </w:r>
      <w:r w:rsidRPr="00380305">
        <w:t>“</w:t>
      </w:r>
      <w:r w:rsidR="004005AF">
        <w:rPr>
          <w:b/>
          <w:color w:val="00188F"/>
        </w:rPr>
        <w:t>Nós</w:t>
      </w:r>
      <w:r w:rsidRPr="00380305">
        <w:t>”</w:t>
      </w:r>
      <w:r w:rsidR="004005AF">
        <w:rPr>
          <w:bCs/>
          <w:color w:val="000000" w:themeColor="text1"/>
        </w:rPr>
        <w:t xml:space="preserve"> é um nó de Coordenador ou Trabalhador do Azure Cosmos DB for PostgreSQL.</w:t>
      </w:r>
    </w:p>
    <w:p w14:paraId="1419358A" w14:textId="77777777" w:rsidR="004005AF" w:rsidRPr="00B06E74" w:rsidRDefault="004005AF" w:rsidP="00F01ED6">
      <w:pPr>
        <w:pStyle w:val="ProductList-Body"/>
        <w:rPr>
          <w:bCs/>
          <w:color w:val="000000" w:themeColor="text1"/>
          <w:sz w:val="12"/>
          <w:szCs w:val="12"/>
        </w:rPr>
      </w:pPr>
    </w:p>
    <w:p w14:paraId="2627B531" w14:textId="2F0782A0" w:rsidR="004005AF" w:rsidRPr="00401AE7" w:rsidRDefault="00EE6E3C" w:rsidP="00C55C00">
      <w:pPr>
        <w:pStyle w:val="ProductList-Body"/>
        <w:keepNext/>
        <w:keepLines/>
        <w:rPr>
          <w:b/>
          <w:color w:val="00188F"/>
        </w:rPr>
      </w:pPr>
      <w:r>
        <w:rPr>
          <w:b/>
          <w:color w:val="00188F"/>
        </w:rPr>
        <w:t>Cálculo do Período de Disponibilidade e Níveis de Serviço para o Microsoft Azure Cosmos DB for PostgreSQL – Nó de Elevada Disponibilidade</w:t>
      </w:r>
    </w:p>
    <w:p w14:paraId="5C5EEC45" w14:textId="4E179ABB" w:rsidR="004005AF" w:rsidRPr="00AC11E3" w:rsidRDefault="00380305" w:rsidP="00F01ED6">
      <w:pPr>
        <w:pStyle w:val="ProductList-Body"/>
        <w:rPr>
          <w:bCs/>
          <w:color w:val="000000" w:themeColor="text1"/>
        </w:rPr>
      </w:pPr>
      <w:r w:rsidRPr="00380305">
        <w:t>“</w:t>
      </w:r>
      <w:r w:rsidR="004005AF">
        <w:rPr>
          <w:b/>
          <w:color w:val="00188F"/>
        </w:rPr>
        <w:t>Máximo de Minutos Disponíveis</w:t>
      </w:r>
      <w:r w:rsidRPr="00380305">
        <w:t>”</w:t>
      </w:r>
      <w:r w:rsidR="004005AF">
        <w:rPr>
          <w:bCs/>
          <w:color w:val="00188F"/>
        </w:rPr>
        <w:t xml:space="preserve"> </w:t>
      </w:r>
      <w:r w:rsidR="004005AF">
        <w:rPr>
          <w:bCs/>
          <w:color w:val="000000" w:themeColor="text1"/>
        </w:rPr>
        <w:t>designa o número total de minutos para um determinado Nó de Elevada Disponibilidade implementado pelo Cliente numa subscrição do Microsoft Azure durante um Período Aplicável.</w:t>
      </w:r>
    </w:p>
    <w:p w14:paraId="409AFA3E" w14:textId="5F0C5916" w:rsidR="004005AF" w:rsidRPr="00AC11E3" w:rsidRDefault="00380305" w:rsidP="00F01ED6">
      <w:pPr>
        <w:pStyle w:val="ProductList-Body"/>
        <w:rPr>
          <w:bCs/>
          <w:color w:val="000000" w:themeColor="text1"/>
        </w:rPr>
      </w:pPr>
      <w:r w:rsidRPr="00380305">
        <w:t>“</w:t>
      </w:r>
      <w:r w:rsidR="004005AF">
        <w:rPr>
          <w:b/>
          <w:color w:val="00188F"/>
        </w:rPr>
        <w:t>Período de Indisponibilidade</w:t>
      </w:r>
      <w:r w:rsidRPr="00380305">
        <w:t>”</w:t>
      </w:r>
      <w:r w:rsidR="004005AF">
        <w:rPr>
          <w:bCs/>
          <w:color w:val="000000" w:themeColor="text1"/>
        </w:rPr>
        <w:t xml:space="preserve"> designa o número total de minutos no Máximo de Minutos Disponíveis durante o qual um Nó está indisponível. Um</w:t>
      </w:r>
      <w:r w:rsidR="00431263">
        <w:rPr>
          <w:bCs/>
          <w:color w:val="000000" w:themeColor="text1"/>
        </w:rPr>
        <w:t> </w:t>
      </w:r>
      <w:r w:rsidR="004005AF">
        <w:rPr>
          <w:bCs/>
          <w:color w:val="000000" w:themeColor="text1"/>
        </w:rPr>
        <w:t>minuto é considerado indisponível se todas as tentativas contínuas por parte do Cliente para estabelecer ligação ao Nó devolveram um Código de Erro ou não responderam ao fim de um minuto. Um minuto também é considerado indisponível para um Nó de Trabalho se o respetivo Nó de Coordenador tiver estado indisponível durante o minuto.</w:t>
      </w:r>
    </w:p>
    <w:p w14:paraId="147EFAF0" w14:textId="0396679C" w:rsidR="004005AF" w:rsidRPr="00AC11E3"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o Nó de Elevada Disponibilidade do Azure Cosmos DB for PostgreSQL é calculada como o</w:t>
      </w:r>
      <w:r w:rsidR="00147224">
        <w:rPr>
          <w:bCs/>
          <w:color w:val="000000" w:themeColor="text1"/>
        </w:rPr>
        <w:t> </w:t>
      </w:r>
      <w:r>
        <w:rPr>
          <w:bCs/>
          <w:color w:val="000000" w:themeColor="text1"/>
        </w:rPr>
        <w:t>Máximo de Minutos Disponíveis menos o Período de Indisponibilidade a dividir pelo Máximo de Minutos Disponíveis.</w:t>
      </w:r>
    </w:p>
    <w:p w14:paraId="1090E03A" w14:textId="047E8E92" w:rsidR="004005AF" w:rsidRDefault="004005AF" w:rsidP="00F01ED6">
      <w:pPr>
        <w:pStyle w:val="ProductList-Body"/>
      </w:pPr>
      <w:r>
        <w:t>A Percentagem de Período de Disponibilidade é calculada através da seguinte fórmula:</w:t>
      </w:r>
    </w:p>
    <w:p w14:paraId="20F6CFCA" w14:textId="77777777" w:rsidR="004005AF" w:rsidRPr="00B06E74" w:rsidRDefault="004005AF" w:rsidP="00F01ED6">
      <w:pPr>
        <w:pStyle w:val="ProductList-Body"/>
        <w:rPr>
          <w:bCs/>
          <w:color w:val="00188F"/>
          <w:sz w:val="12"/>
          <w:szCs w:val="12"/>
        </w:rPr>
      </w:pPr>
    </w:p>
    <w:p w14:paraId="378E2D22" w14:textId="65B05FAA" w:rsidR="004005AF" w:rsidRPr="00AC11E3" w:rsidRDefault="00000000" w:rsidP="00C55C00">
      <w:pPr>
        <w:pStyle w:val="ProductList-Body"/>
        <w:spacing w:after="160"/>
        <w:rPr>
          <w:bCs/>
          <w:color w:val="00188F"/>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x 100</m:t>
          </m:r>
        </m:oMath>
      </m:oMathPara>
    </w:p>
    <w:p w14:paraId="42A770C0" w14:textId="77777777" w:rsidR="004005AF" w:rsidRPr="00491D0A" w:rsidRDefault="004005AF" w:rsidP="00F01ED6">
      <w:pPr>
        <w:pStyle w:val="ProductList-Body"/>
        <w:keepNext/>
        <w:spacing w:before="120"/>
        <w:rPr>
          <w:b/>
          <w:bCs/>
          <w:color w:val="00188F"/>
        </w:rPr>
      </w:pPr>
      <w:r>
        <w:rPr>
          <w:rFonts w:ascii="Calibri" w:hAnsi="Calibri" w:cs="Calibri"/>
          <w:b/>
          <w:bCs/>
          <w:color w:val="00188F"/>
          <w:shd w:val="clear" w:color="auto" w:fill="FFFFFF"/>
        </w:rPr>
        <w:t>Os seguintes Níveis de Serviço e Crédito de Serviço são aplicáveis à utilização que o Cliente faz do Nó de Elevada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39EE9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277097">
        <w:tc>
          <w:tcPr>
            <w:tcW w:w="5400" w:type="dxa"/>
          </w:tcPr>
          <w:p w14:paraId="6204D35B" w14:textId="4B88CAE8" w:rsidR="004005AF" w:rsidRPr="0076238C" w:rsidRDefault="004005AF" w:rsidP="00F01ED6">
            <w:pPr>
              <w:pStyle w:val="ProductList-OfferingBody"/>
              <w:jc w:val="center"/>
            </w:pPr>
            <w:r>
              <w:t>&lt; 99,99%</w:t>
            </w:r>
          </w:p>
        </w:tc>
        <w:tc>
          <w:tcPr>
            <w:tcW w:w="5400" w:type="dxa"/>
          </w:tcPr>
          <w:p w14:paraId="6E2D2625" w14:textId="77777777" w:rsidR="004005AF" w:rsidRPr="0076238C" w:rsidRDefault="004005AF" w:rsidP="00F01ED6">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F01ED6">
            <w:pPr>
              <w:pStyle w:val="ProductList-OfferingBody"/>
              <w:jc w:val="center"/>
            </w:pPr>
            <w:r>
              <w:t>&lt; 99%</w:t>
            </w:r>
          </w:p>
        </w:tc>
        <w:tc>
          <w:tcPr>
            <w:tcW w:w="5400" w:type="dxa"/>
          </w:tcPr>
          <w:p w14:paraId="029E052E" w14:textId="77777777" w:rsidR="004005AF" w:rsidRPr="0076238C" w:rsidRDefault="004005AF" w:rsidP="00F01ED6">
            <w:pPr>
              <w:pStyle w:val="ProductList-OfferingBody"/>
              <w:jc w:val="center"/>
            </w:pPr>
            <w:r>
              <w:t>25%</w:t>
            </w:r>
          </w:p>
        </w:tc>
      </w:tr>
    </w:tbl>
    <w:p w14:paraId="76530556" w14:textId="220D316B" w:rsidR="004005AF" w:rsidRPr="00AC11E3" w:rsidRDefault="004005AF" w:rsidP="00B06E74">
      <w:pPr>
        <w:pStyle w:val="ProductList-Body"/>
        <w:spacing w:before="120"/>
        <w:rPr>
          <w:b/>
          <w:color w:val="00188F"/>
        </w:rPr>
      </w:pPr>
      <w:r>
        <w:rPr>
          <w:b/>
          <w:color w:val="00188F"/>
        </w:rPr>
        <w:t>Microsoft Azure Cosmos DB for NoSQL, Microsoft Azure Cosmos DB for MongoDB</w:t>
      </w:r>
      <w:r w:rsidR="005E5097">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F01ED6">
      <w:pPr>
        <w:pStyle w:val="ProductList-Body"/>
        <w:rPr>
          <w:b/>
          <w:color w:val="00188F"/>
        </w:rPr>
      </w:pPr>
      <w:r>
        <w:rPr>
          <w:b/>
          <w:color w:val="00188F"/>
        </w:rPr>
        <w:t>Definições Adicionais</w:t>
      </w:r>
      <w:r w:rsidRPr="00473DD3">
        <w:rPr>
          <w:b/>
          <w:color w:val="00188F"/>
        </w:rPr>
        <w:t>:</w:t>
      </w:r>
    </w:p>
    <w:p w14:paraId="361D61EC" w14:textId="1DC7A551" w:rsidR="004005AF" w:rsidRPr="00EF7CF9" w:rsidRDefault="00380305" w:rsidP="00F01ED6">
      <w:pPr>
        <w:pStyle w:val="ProductList-Body"/>
      </w:pPr>
      <w:r>
        <w:t>“</w:t>
      </w:r>
      <w:r w:rsidR="004005AF">
        <w:rPr>
          <w:b/>
          <w:color w:val="00188F"/>
        </w:rPr>
        <w:t>Contentor</w:t>
      </w:r>
      <w:r>
        <w:t>”</w:t>
      </w:r>
      <w:r w:rsidR="004005AF">
        <w:t xml:space="preserve"> é um contentor de itens de dados e uma unidade de escala para transações e consultas.</w:t>
      </w:r>
    </w:p>
    <w:p w14:paraId="2042777F" w14:textId="4ED0C6F2" w:rsidR="004005AF" w:rsidRPr="00EF7CF9" w:rsidRDefault="00380305" w:rsidP="00F01ED6">
      <w:pPr>
        <w:pStyle w:val="ProductList-Body"/>
      </w:pPr>
      <w:r>
        <w:t>“</w:t>
      </w:r>
      <w:r w:rsidR="004005AF">
        <w:rPr>
          <w:b/>
          <w:color w:val="00188F"/>
        </w:rPr>
        <w:t>RUs Consumidas</w:t>
      </w:r>
      <w:r>
        <w:t>”</w:t>
      </w:r>
      <w:r w:rsidR="004005AF">
        <w:t xml:space="preserve"> é a soma das Unidades de Pedido consumidas por todos os pedidos processados pelo Contentor do Azure Cosmos DB num determinado segundo.</w:t>
      </w:r>
    </w:p>
    <w:p w14:paraId="30EF1808" w14:textId="6A111E00" w:rsidR="004005AF" w:rsidRPr="00EF7CF9" w:rsidRDefault="00380305" w:rsidP="00F01ED6">
      <w:pPr>
        <w:pStyle w:val="ProductList-Body"/>
        <w:spacing w:after="40"/>
      </w:pPr>
      <w:r>
        <w:t>“</w:t>
      </w:r>
      <w:r w:rsidR="004005AF">
        <w:rPr>
          <w:b/>
          <w:color w:val="00188F"/>
        </w:rPr>
        <w:t>Conta de Base de Dados</w:t>
      </w:r>
      <w:r>
        <w:t>”</w:t>
      </w:r>
      <w:r w:rsidR="004005AF">
        <w:t xml:space="preserve"> é o recurso de nível superior do modelo de recurso Azure Cosmos DB. Uma Conta de Base de Dados Azure Cosmos DB contém uma ou mais bases de dados.</w:t>
      </w:r>
    </w:p>
    <w:p w14:paraId="5F79BD07" w14:textId="5290133E" w:rsidR="004005AF" w:rsidRPr="00EF7CF9" w:rsidRDefault="00380305" w:rsidP="00F01ED6">
      <w:pPr>
        <w:pStyle w:val="ProductList-Body"/>
        <w:spacing w:after="40"/>
      </w:pPr>
      <w:r>
        <w:t>“</w:t>
      </w:r>
      <w:r w:rsidR="004005AF">
        <w:rPr>
          <w:b/>
          <w:color w:val="00188F"/>
        </w:rPr>
        <w:t>Pedidos com Falha</w:t>
      </w:r>
      <w:r>
        <w:t>”</w:t>
      </w:r>
      <w:r w:rsidR="004005AF">
        <w:t xml:space="preserve"> são os pedidos no Total de Pedidos que devolvem um Código de Erro ou que não conseguem devolver um Código de Êxito dentro dos limites superiores máximos documentados na tabela abaixo.</w:t>
      </w:r>
    </w:p>
    <w:p w14:paraId="5C559261" w14:textId="29CCF5CB" w:rsidR="004005AF" w:rsidRPr="00EF7CF9" w:rsidRDefault="00380305" w:rsidP="00F01ED6">
      <w:pPr>
        <w:pStyle w:val="ProductList-Body"/>
      </w:pPr>
      <w:r>
        <w:t>“</w:t>
      </w:r>
      <w:r w:rsidR="004005AF">
        <w:rPr>
          <w:b/>
          <w:color w:val="00188F"/>
        </w:rPr>
        <w:t>Pedidos de Leitura com Falha</w:t>
      </w:r>
      <w:r>
        <w:t>”</w:t>
      </w:r>
      <w:r w:rsidR="004005AF">
        <w:t xml:space="preserve"> são pedidos no Total de Pedidos de Leitura que devolvem um Código de Erro ou que não devolvem um Código de</w:t>
      </w:r>
      <w:r w:rsidR="00394338">
        <w:t> </w:t>
      </w:r>
      <w:r w:rsidR="004005AF">
        <w:t>Êxito nos limites superiores máximos documentados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F01ED6">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F01ED6">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277097">
        <w:tc>
          <w:tcPr>
            <w:tcW w:w="5400" w:type="dxa"/>
          </w:tcPr>
          <w:p w14:paraId="54741EFD" w14:textId="77777777" w:rsidR="004005AF" w:rsidRPr="00EF7CF9" w:rsidRDefault="004005AF" w:rsidP="00F01ED6">
            <w:pPr>
              <w:pStyle w:val="ProductList-OfferingBody"/>
            </w:pPr>
            <w:r>
              <w:t>Operações de Recursos</w:t>
            </w:r>
          </w:p>
        </w:tc>
        <w:tc>
          <w:tcPr>
            <w:tcW w:w="5400" w:type="dxa"/>
          </w:tcPr>
          <w:p w14:paraId="05D5AEFF"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F01ED6">
            <w:pPr>
              <w:pStyle w:val="ProductList-OfferingBody"/>
            </w:pPr>
            <w:r>
              <w:t>Operações de Multimédia</w:t>
            </w:r>
          </w:p>
        </w:tc>
        <w:tc>
          <w:tcPr>
            <w:tcW w:w="5400" w:type="dxa"/>
          </w:tcPr>
          <w:p w14:paraId="30157A9F" w14:textId="77777777" w:rsidR="004005AF" w:rsidRPr="00EF7CF9" w:rsidRDefault="004005AF" w:rsidP="00F01ED6">
            <w:pPr>
              <w:pStyle w:val="ProductList-OfferingBody"/>
            </w:pPr>
            <w:r>
              <w:t>60 Segundos</w:t>
            </w:r>
          </w:p>
        </w:tc>
      </w:tr>
    </w:tbl>
    <w:p w14:paraId="078FD11A" w14:textId="77777777" w:rsidR="004005AF" w:rsidRPr="00B06E74" w:rsidRDefault="004005AF" w:rsidP="00F01ED6">
      <w:pPr>
        <w:spacing w:after="0" w:line="240" w:lineRule="auto"/>
        <w:rPr>
          <w:sz w:val="12"/>
          <w:szCs w:val="12"/>
        </w:rPr>
      </w:pPr>
    </w:p>
    <w:p w14:paraId="33557703" w14:textId="6E336B00" w:rsidR="004005AF" w:rsidRPr="008E7C1C" w:rsidRDefault="00380305" w:rsidP="00F01ED6">
      <w:pPr>
        <w:spacing w:after="0" w:line="240" w:lineRule="auto"/>
        <w:jc w:val="both"/>
        <w:rPr>
          <w:spacing w:val="-3"/>
          <w:sz w:val="18"/>
        </w:rPr>
      </w:pPr>
      <w:r>
        <w:rPr>
          <w:spacing w:val="-3"/>
          <w:sz w:val="18"/>
        </w:rPr>
        <w:t>“</w:t>
      </w:r>
      <w:r w:rsidR="004005AF" w:rsidRPr="008E7C1C">
        <w:rPr>
          <w:b/>
          <w:color w:val="00188F"/>
          <w:spacing w:val="-3"/>
          <w:sz w:val="18"/>
        </w:rPr>
        <w:t>RUs Aprovisionados</w:t>
      </w:r>
      <w:r>
        <w:rPr>
          <w:spacing w:val="-3"/>
          <w:sz w:val="18"/>
        </w:rPr>
        <w:t>”</w:t>
      </w:r>
      <w:r w:rsidR="004005AF" w:rsidRPr="008E7C1C">
        <w:rPr>
          <w:spacing w:val="-3"/>
          <w:sz w:val="18"/>
        </w:rPr>
        <w:t xml:space="preserve"> é o total de Unidades de Pedido Aprovisionadas para um determinado Contentor do Azure </w:t>
      </w:r>
      <w:r w:rsidR="004005AF" w:rsidRPr="008E7C1C">
        <w:rPr>
          <w:rStyle w:val="ProductList-BodyChar"/>
          <w:spacing w:val="-3"/>
        </w:rPr>
        <w:t>Cosmos DB</w:t>
      </w:r>
      <w:r w:rsidR="004005AF" w:rsidRPr="008E7C1C">
        <w:rPr>
          <w:spacing w:val="-3"/>
          <w:sz w:val="18"/>
        </w:rPr>
        <w:t xml:space="preserve"> num determinado segundo.</w:t>
      </w:r>
    </w:p>
    <w:p w14:paraId="70C37A24" w14:textId="5FE2E6E4" w:rsidR="004005AF" w:rsidRPr="00ED4527" w:rsidRDefault="00380305" w:rsidP="00F01ED6">
      <w:pPr>
        <w:spacing w:after="0" w:line="240" w:lineRule="auto"/>
        <w:rPr>
          <w:color w:val="000000" w:themeColor="text1"/>
          <w:sz w:val="18"/>
        </w:rPr>
      </w:pPr>
      <w:r w:rsidRPr="00380305">
        <w:rPr>
          <w:sz w:val="18"/>
        </w:rPr>
        <w:t>“</w:t>
      </w:r>
      <w:r w:rsidR="004005AF">
        <w:rPr>
          <w:b/>
          <w:bCs/>
          <w:color w:val="00188F"/>
          <w:sz w:val="18"/>
        </w:rPr>
        <w:t>Recursos de Débito Aprovisionado</w:t>
      </w:r>
      <w:r w:rsidRPr="00380305">
        <w:rPr>
          <w:sz w:val="18"/>
        </w:rPr>
        <w:t>”</w:t>
      </w:r>
      <w:r w:rsidR="004005AF">
        <w:rPr>
          <w:color w:val="000000" w:themeColor="text1"/>
          <w:sz w:val="18"/>
        </w:rPr>
        <w:t xml:space="preserve"> são Contentores do Azure Cosmos DB configurados em modo de débito aprovisionado, em que é faturado o</w:t>
      </w:r>
      <w:r w:rsidR="007C0172">
        <w:rPr>
          <w:color w:val="000000" w:themeColor="text1"/>
          <w:sz w:val="18"/>
        </w:rPr>
        <w:t> </w:t>
      </w:r>
      <w:r w:rsidR="004005AF">
        <w:rPr>
          <w:color w:val="000000" w:themeColor="text1"/>
          <w:sz w:val="18"/>
        </w:rPr>
        <w:t>número de RU Aprovisionadas.</w:t>
      </w:r>
    </w:p>
    <w:p w14:paraId="16319EEE" w14:textId="37825219" w:rsidR="004005AF" w:rsidRPr="00EF7CF9" w:rsidRDefault="00380305" w:rsidP="00F01ED6">
      <w:pPr>
        <w:spacing w:after="0" w:line="240" w:lineRule="auto"/>
        <w:rPr>
          <w:sz w:val="18"/>
        </w:rPr>
      </w:pPr>
      <w:r>
        <w:rPr>
          <w:sz w:val="18"/>
        </w:rPr>
        <w:t>“</w:t>
      </w:r>
      <w:r w:rsidR="004005AF">
        <w:rPr>
          <w:b/>
          <w:color w:val="00188F"/>
          <w:sz w:val="18"/>
        </w:rPr>
        <w:t>Pedidos Limitados por Taxa</w:t>
      </w:r>
      <w:r>
        <w:rPr>
          <w:sz w:val="18"/>
        </w:rPr>
        <w:t>”</w:t>
      </w:r>
      <w:r w:rsidR="004005AF">
        <w:rPr>
          <w:sz w:val="18"/>
        </w:rPr>
        <w:t xml:space="preserve"> são pedidos que devolvem um código de estado 429 a partir do Contentor do Azure Cosmos DB, o que indica que as</w:t>
      </w:r>
      <w:r w:rsidR="00F54ACA">
        <w:rPr>
          <w:sz w:val="18"/>
        </w:rPr>
        <w:t> </w:t>
      </w:r>
      <w:r w:rsidR="004005AF">
        <w:rPr>
          <w:sz w:val="18"/>
        </w:rPr>
        <w:t>RUs Consumidas excederem as RUs Aprovisionadas para uma partição no Contentor num determinado segundo.</w:t>
      </w:r>
    </w:p>
    <w:p w14:paraId="08AAE103" w14:textId="555BA433" w:rsidR="004005AF" w:rsidRPr="00EF7CF9" w:rsidRDefault="00380305" w:rsidP="00F01ED6">
      <w:pPr>
        <w:pStyle w:val="ProductList-Body"/>
      </w:pPr>
      <w:r>
        <w:t>“</w:t>
      </w:r>
      <w:r w:rsidR="004005AF">
        <w:rPr>
          <w:b/>
          <w:color w:val="00188F"/>
        </w:rPr>
        <w:t>Unidade de Pedido (RU)</w:t>
      </w:r>
      <w:r>
        <w:t>”</w:t>
      </w:r>
      <w:r w:rsidR="004005AF">
        <w:t xml:space="preserve"> é uma medida de débito no Azure Cosmos</w:t>
      </w:r>
      <w:r w:rsidR="004005AF">
        <w:rPr>
          <w:rStyle w:val="ProductList-BodyChar"/>
        </w:rPr>
        <w:t xml:space="preserve"> DB</w:t>
      </w:r>
      <w:r w:rsidR="004005AF">
        <w:t>.</w:t>
      </w:r>
    </w:p>
    <w:p w14:paraId="1E86EDAF" w14:textId="16EAA8AD" w:rsidR="004005AF" w:rsidRPr="00EF7CF9" w:rsidRDefault="00380305" w:rsidP="00F01ED6">
      <w:pPr>
        <w:pStyle w:val="ProductList-Body"/>
        <w:spacing w:after="40"/>
      </w:pPr>
      <w:r>
        <w:t>“</w:t>
      </w:r>
      <w:r w:rsidR="004005AF">
        <w:rPr>
          <w:b/>
          <w:color w:val="00188F"/>
        </w:rPr>
        <w:t>Recurso</w:t>
      </w:r>
      <w:r>
        <w:t>”</w:t>
      </w:r>
      <w:r w:rsidR="004005AF">
        <w:t xml:space="preserve"> é um conjunto de entidades endereçáveis de URI associadas a uma Conta de Base de Dados.</w:t>
      </w:r>
    </w:p>
    <w:p w14:paraId="395911E4" w14:textId="13D41B95" w:rsidR="004005AF" w:rsidRPr="008E7C1C" w:rsidRDefault="00380305" w:rsidP="00F01ED6">
      <w:pPr>
        <w:pStyle w:val="ProductList-Body"/>
        <w:spacing w:after="40"/>
        <w:rPr>
          <w:color w:val="000000" w:themeColor="text1"/>
          <w:spacing w:val="-3"/>
        </w:rPr>
      </w:pPr>
      <w:r w:rsidRPr="009D6328">
        <w:t>“</w:t>
      </w:r>
      <w:r w:rsidR="004005AF" w:rsidRPr="008E7C1C">
        <w:rPr>
          <w:b/>
          <w:bCs/>
          <w:color w:val="00188F"/>
          <w:spacing w:val="-3"/>
        </w:rPr>
        <w:t>Recursos Sem Servidor</w:t>
      </w:r>
      <w:r w:rsidRPr="009D6328">
        <w:t>”</w:t>
      </w:r>
      <w:r w:rsidR="004005AF" w:rsidRPr="008E7C1C">
        <w:rPr>
          <w:color w:val="000000" w:themeColor="text1"/>
          <w:spacing w:val="-3"/>
        </w:rPr>
        <w:t xml:space="preserve"> são Contentores do Azure Cosmos DB configurados em modo sem servidor, em que é faturado o número de RU Consumidas.</w:t>
      </w:r>
    </w:p>
    <w:p w14:paraId="29101DF6" w14:textId="4114D50E" w:rsidR="004005AF" w:rsidRPr="00EF7CF9" w:rsidRDefault="00380305" w:rsidP="00F01ED6">
      <w:pPr>
        <w:pStyle w:val="ProductList-Body"/>
        <w:spacing w:after="40"/>
      </w:pPr>
      <w:r>
        <w:t>“</w:t>
      </w:r>
      <w:r w:rsidR="004005AF">
        <w:rPr>
          <w:b/>
          <w:color w:val="00188F"/>
        </w:rPr>
        <w:t>Pedidos Com Êxito</w:t>
      </w:r>
      <w:r>
        <w:t>”</w:t>
      </w:r>
      <w:r w:rsidR="004005AF">
        <w:t xml:space="preserve"> designa o Total de Pedidos menos os Pedidos com Falha.</w:t>
      </w:r>
    </w:p>
    <w:p w14:paraId="6A5A40CE" w14:textId="55806C7B" w:rsidR="004005AF" w:rsidRPr="00EF7CF9" w:rsidRDefault="00380305" w:rsidP="00F01ED6">
      <w:pPr>
        <w:pStyle w:val="ProductList-Body"/>
        <w:ind w:right="126"/>
      </w:pPr>
      <w:r>
        <w:t>“</w:t>
      </w:r>
      <w:r w:rsidR="004005AF">
        <w:rPr>
          <w:b/>
          <w:color w:val="00188F"/>
        </w:rPr>
        <w:t>Total de Pedidos de Leitura</w:t>
      </w:r>
      <w:r>
        <w:t>”</w:t>
      </w:r>
      <w:r w:rsidR="004005AF">
        <w:t xml:space="preserve"> designa o conjunto de todos os pedidos de leitura, incluindo Pedidos Limitados por Taxa e todos os Pedidos de Leitura com Falha, emitidos relativamente a Recursos num intervalo de uma hora, no âmbito de uma determinada subscrição do Azure durante um Período Aplicável.</w:t>
      </w:r>
    </w:p>
    <w:p w14:paraId="237501E5" w14:textId="1F3465ED" w:rsidR="004005AF" w:rsidRPr="00EF7CF9" w:rsidRDefault="00380305" w:rsidP="00F01ED6">
      <w:pPr>
        <w:pStyle w:val="ProductList-Body"/>
      </w:pPr>
      <w:r>
        <w:lastRenderedPageBreak/>
        <w:t>“</w:t>
      </w:r>
      <w:r w:rsidR="004005AF">
        <w:rPr>
          <w:b/>
          <w:color w:val="00188F"/>
        </w:rPr>
        <w:t>Total de Pedidos</w:t>
      </w:r>
      <w:r>
        <w:t>”</w:t>
      </w:r>
      <w:r w:rsidR="004005AF">
        <w:t xml:space="preserve"> designa o conjunto de todos os pedidos, incluindo os Pedidos Limitados pela Taxa e todos os Pedidos com Falha, emitidos relativamente a Recursos num intervalo de uma hora, no âmbito de uma determinada subscrição do Azure durante um Período Aplicável.</w:t>
      </w:r>
    </w:p>
    <w:p w14:paraId="5AD6669C" w14:textId="77777777" w:rsidR="004005AF" w:rsidRPr="00B06E74" w:rsidRDefault="004005AF" w:rsidP="00F01ED6">
      <w:pPr>
        <w:pStyle w:val="ProductList-Body"/>
        <w:rPr>
          <w:b/>
          <w:color w:val="00188F"/>
          <w:sz w:val="12"/>
          <w:szCs w:val="12"/>
        </w:rPr>
      </w:pPr>
    </w:p>
    <w:p w14:paraId="6E2B6641" w14:textId="77777777" w:rsidR="004005AF" w:rsidRPr="00EF7CF9" w:rsidRDefault="004005AF" w:rsidP="00F01ED6">
      <w:pPr>
        <w:pStyle w:val="ProductList-Body"/>
        <w:rPr>
          <w:b/>
          <w:color w:val="00188F"/>
        </w:rPr>
      </w:pPr>
      <w:r>
        <w:rPr>
          <w:b/>
          <w:color w:val="00188F"/>
        </w:rPr>
        <w:t>SLA de disponibilidade</w:t>
      </w:r>
    </w:p>
    <w:p w14:paraId="11FEC7EC" w14:textId="6563A5CA" w:rsidR="004005AF" w:rsidRPr="00EF7CF9" w:rsidRDefault="00380305" w:rsidP="00F01ED6">
      <w:pPr>
        <w:pStyle w:val="ProductList-Body"/>
        <w:ind w:left="360"/>
      </w:pPr>
      <w:r>
        <w:t>“</w:t>
      </w:r>
      <w:r w:rsidR="004005AF">
        <w:rPr>
          <w:b/>
          <w:color w:val="0072C6"/>
        </w:rPr>
        <w:t>Taxa de Erros de Leitura</w:t>
      </w:r>
      <w:r>
        <w:t>”</w:t>
      </w:r>
      <w:r w:rsidR="004005AF">
        <w:t xml:space="preserve"> designa o número total de Pedidos de Leitura com Falha a dividir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6486965" w14:textId="780D9CD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a dividir pelo Total de Pedidos, em todos os Recursos numa determinada subscrição do Azure, durante um intervalo de uma hora. Se o Total de Pedidos num determinado intervalo de uma hora for zero, a Taxa de Erros para esse intervalo é de 0%.</w:t>
      </w:r>
    </w:p>
    <w:p w14:paraId="53003E87" w14:textId="7D3887E5"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 </w:t>
      </w:r>
    </w:p>
    <w:p w14:paraId="4B6B9E2E" w14:textId="10D22B4F" w:rsidR="004005AF" w:rsidRPr="00ED4527" w:rsidRDefault="00380305" w:rsidP="00F01ED6">
      <w:pPr>
        <w:pStyle w:val="ProductList-Body"/>
        <w:ind w:left="360"/>
        <w:rPr>
          <w:rFonts w:cstheme="minorHAnsi"/>
          <w:color w:val="000000" w:themeColor="text1"/>
        </w:rPr>
      </w:pPr>
      <w:r>
        <w:t>“</w:t>
      </w:r>
      <w:r w:rsidR="004005AF">
        <w:rPr>
          <w:b/>
          <w:color w:val="0072C6"/>
        </w:rPr>
        <w:t>Taxa Média de Erros de Leitura</w:t>
      </w:r>
      <w:r>
        <w:t>”</w:t>
      </w:r>
      <w:r w:rsidR="004005AF">
        <w:t xml:space="preserve"> para um Período Aplicável designa a soma das Taxas de Erros para cada hora no Período Aplicável a dividir pelo número total de horas no Período Aplicável.</w:t>
      </w:r>
    </w:p>
    <w:p w14:paraId="7AA01C14" w14:textId="4B7551B6" w:rsidR="004005AF" w:rsidRDefault="004005AF" w:rsidP="00F01ED6">
      <w:pPr>
        <w:pStyle w:val="ProductList-Body"/>
        <w:ind w:left="360"/>
      </w:pPr>
      <w:r>
        <w:t xml:space="preserve">A </w:t>
      </w:r>
      <w:r w:rsidR="00380305" w:rsidRPr="00380305">
        <w:t>“</w:t>
      </w:r>
      <w:r>
        <w:rPr>
          <w:b/>
          <w:color w:val="0072C6"/>
        </w:rPr>
        <w:t>Percentagem de Disponibilidade, região única</w:t>
      </w:r>
      <w:r w:rsidR="00380305" w:rsidRPr="00380305">
        <w:t>”</w:t>
      </w:r>
      <w:r>
        <w:t xml:space="preserve"> para o Serviço Azure Cosmos DB implementado através das Contas da Base de Dados, destinadas a uma única região do Azure configuradas com qualquer um dos cinco Níveis de Consistência, é calculada ao subtrair de 100% a</w:t>
      </w:r>
      <w:r w:rsidR="00656EFA">
        <w:t> </w:t>
      </w:r>
      <w:r>
        <w:t>Taxa Média de Erros para uma determinada subscrição do Microsoft Azure num Período Aplicável.</w:t>
      </w:r>
    </w:p>
    <w:p w14:paraId="6B623582" w14:textId="49CC4D1B" w:rsidR="004005AF" w:rsidRPr="00EF7CF9" w:rsidRDefault="004005AF" w:rsidP="00F01ED6">
      <w:pPr>
        <w:pStyle w:val="ProductList-Body"/>
        <w:ind w:left="360"/>
      </w:pPr>
      <w:r>
        <w:t>A Percentagem de Disponibilidade é representada pela seguinte fórmula:</w:t>
      </w:r>
    </w:p>
    <w:p w14:paraId="31AB9B03" w14:textId="77777777" w:rsidR="004005AF" w:rsidRPr="00AE404D" w:rsidRDefault="004005AF" w:rsidP="00F01ED6">
      <w:pPr>
        <w:pStyle w:val="ProductList-Body"/>
        <w:rPr>
          <w:sz w:val="12"/>
          <w:szCs w:val="12"/>
        </w:rPr>
      </w:pPr>
    </w:p>
    <w:p w14:paraId="1F669364" w14:textId="5C2C8156"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D3119E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F01ED6">
            <w:pPr>
              <w:pStyle w:val="ProductList-OfferingBody"/>
              <w:jc w:val="center"/>
              <w:rPr>
                <w:color w:val="FFFFFF" w:themeColor="background1"/>
              </w:rPr>
            </w:pPr>
            <w:r>
              <w:rPr>
                <w:color w:val="FFFFFF" w:themeColor="background1"/>
              </w:rPr>
              <w:t>Percentagem de Disponibilidade</w:t>
            </w:r>
          </w:p>
        </w:tc>
        <w:tc>
          <w:tcPr>
            <w:tcW w:w="5220" w:type="dxa"/>
            <w:shd w:val="clear" w:color="auto" w:fill="0072C6"/>
          </w:tcPr>
          <w:p w14:paraId="522E8022"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0F31B4">
        <w:tc>
          <w:tcPr>
            <w:tcW w:w="5220" w:type="dxa"/>
          </w:tcPr>
          <w:p w14:paraId="76174D01" w14:textId="77777777" w:rsidR="004005AF" w:rsidRPr="00EF7CF9" w:rsidRDefault="004005AF" w:rsidP="00F01ED6">
            <w:pPr>
              <w:pStyle w:val="ProductList-OfferingBody"/>
              <w:jc w:val="center"/>
            </w:pPr>
            <w:r>
              <w:t>&lt; 99,99%</w:t>
            </w:r>
          </w:p>
        </w:tc>
        <w:tc>
          <w:tcPr>
            <w:tcW w:w="5220" w:type="dxa"/>
          </w:tcPr>
          <w:p w14:paraId="76F210E0" w14:textId="77777777" w:rsidR="004005AF" w:rsidRPr="00EF7CF9" w:rsidRDefault="004005AF" w:rsidP="00F01ED6">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F01ED6">
            <w:pPr>
              <w:pStyle w:val="ProductList-OfferingBody"/>
              <w:jc w:val="center"/>
            </w:pPr>
            <w:r>
              <w:t>&lt; 99%</w:t>
            </w:r>
          </w:p>
        </w:tc>
        <w:tc>
          <w:tcPr>
            <w:tcW w:w="5220" w:type="dxa"/>
          </w:tcPr>
          <w:p w14:paraId="09F00374" w14:textId="77777777" w:rsidR="004005AF" w:rsidRPr="00EF7CF9" w:rsidRDefault="004005AF" w:rsidP="00F01ED6">
            <w:pPr>
              <w:pStyle w:val="ProductList-OfferingBody"/>
              <w:jc w:val="center"/>
            </w:pPr>
            <w:r>
              <w:t>25%</w:t>
            </w:r>
          </w:p>
        </w:tc>
      </w:tr>
    </w:tbl>
    <w:p w14:paraId="1C678F12" w14:textId="01ED039C" w:rsidR="004005AF" w:rsidRDefault="004005AF" w:rsidP="00F01ED6">
      <w:pPr>
        <w:pStyle w:val="ProductList-Body"/>
        <w:ind w:left="360"/>
        <w:rPr>
          <w:color w:val="000000" w:themeColor="text1"/>
        </w:rPr>
      </w:pPr>
      <w:r>
        <w:t xml:space="preserve">A </w:t>
      </w:r>
      <w:r w:rsidR="00380305" w:rsidRPr="00380305">
        <w:t>“</w:t>
      </w:r>
      <w:r>
        <w:rPr>
          <w:b/>
          <w:bCs/>
          <w:color w:val="00188F"/>
        </w:rPr>
        <w:t>Percentagem de Disponibilidade, região única com zonas de disponibilidade (SR-AZ)</w:t>
      </w:r>
      <w:r w:rsidR="00380305" w:rsidRPr="00380305">
        <w:t>”</w:t>
      </w:r>
      <w:r>
        <w:t xml:space="preserve"> </w:t>
      </w:r>
      <w:r>
        <w:rPr>
          <w:color w:val="000000" w:themeColor="text1"/>
        </w:rPr>
        <w:t xml:space="preserve">para o Serviço Azure Cosmos DB implementado através das Contas da Base de Dados, destinadas a uma única região do Azure configuradas com zonas de disponibilidade e qualquer um dos cinco Níveis de Consistência, é calculada ao subtrair de 100% a Taxa Média de Erros para uma determinada subscrição do Microsoft Azure num Período Aplicável. </w:t>
      </w:r>
    </w:p>
    <w:p w14:paraId="4BE8750A" w14:textId="118E4410" w:rsidR="004005AF" w:rsidRPr="00ED4527" w:rsidRDefault="004005AF" w:rsidP="00F01ED6">
      <w:pPr>
        <w:pStyle w:val="ProductList-Body"/>
        <w:ind w:left="360"/>
        <w:rPr>
          <w:color w:val="000000" w:themeColor="text1"/>
        </w:rPr>
      </w:pPr>
      <w:r>
        <w:rPr>
          <w:color w:val="000000" w:themeColor="text1"/>
        </w:rPr>
        <w:t>A Percentagem de Disponibilidade é representada pela seguinte fórmula:</w:t>
      </w:r>
    </w:p>
    <w:p w14:paraId="11D51820" w14:textId="7D5876D3" w:rsidR="004005AF" w:rsidRPr="00EF7CF9" w:rsidRDefault="008E7C1C" w:rsidP="00A12377">
      <w:pPr>
        <w:pStyle w:val="ListParagraph"/>
        <w:spacing w:before="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70B4484"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F01ED6">
            <w:pPr>
              <w:pStyle w:val="ProductList-OfferingBody"/>
              <w:jc w:val="center"/>
              <w:rPr>
                <w:color w:val="FFFFFF" w:themeColor="background1"/>
              </w:rPr>
            </w:pPr>
            <w:r>
              <w:rPr>
                <w:color w:val="FFFFFF" w:themeColor="background1"/>
              </w:rPr>
              <w:t>Percentagem de Disponibilidade (SR-AZ)</w:t>
            </w:r>
          </w:p>
        </w:tc>
        <w:tc>
          <w:tcPr>
            <w:tcW w:w="5220" w:type="dxa"/>
            <w:shd w:val="clear" w:color="auto" w:fill="0072C6"/>
          </w:tcPr>
          <w:p w14:paraId="0EF30CB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0F31B4">
        <w:tc>
          <w:tcPr>
            <w:tcW w:w="5220" w:type="dxa"/>
          </w:tcPr>
          <w:p w14:paraId="165E57FA" w14:textId="77777777" w:rsidR="004005AF" w:rsidRPr="00EF7CF9" w:rsidRDefault="004005AF" w:rsidP="00F01ED6">
            <w:pPr>
              <w:pStyle w:val="ProductList-OfferingBody"/>
              <w:jc w:val="center"/>
            </w:pPr>
            <w:r>
              <w:t>&lt; 99,995%</w:t>
            </w:r>
          </w:p>
        </w:tc>
        <w:tc>
          <w:tcPr>
            <w:tcW w:w="5220" w:type="dxa"/>
          </w:tcPr>
          <w:p w14:paraId="3C61D854" w14:textId="77777777" w:rsidR="004005AF" w:rsidRPr="00EF7CF9" w:rsidRDefault="004005AF" w:rsidP="00F01ED6">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F01ED6">
            <w:pPr>
              <w:pStyle w:val="ProductList-OfferingBody"/>
              <w:jc w:val="center"/>
            </w:pPr>
            <w:r>
              <w:t>&lt; 99%</w:t>
            </w:r>
          </w:p>
        </w:tc>
        <w:tc>
          <w:tcPr>
            <w:tcW w:w="5220" w:type="dxa"/>
          </w:tcPr>
          <w:p w14:paraId="59950996" w14:textId="77777777" w:rsidR="004005AF" w:rsidRPr="00EF7CF9" w:rsidRDefault="004005AF" w:rsidP="00F01ED6">
            <w:pPr>
              <w:pStyle w:val="ProductList-OfferingBody"/>
              <w:jc w:val="center"/>
            </w:pPr>
            <w:r>
              <w:t>25%</w:t>
            </w:r>
          </w:p>
        </w:tc>
      </w:tr>
    </w:tbl>
    <w:p w14:paraId="2163FA83" w14:textId="6EEF8E05" w:rsidR="004005AF" w:rsidRDefault="004005AF" w:rsidP="00F01ED6">
      <w:pPr>
        <w:pStyle w:val="ProductList-Body"/>
        <w:ind w:left="360"/>
      </w:pPr>
      <w:r>
        <w:t xml:space="preserve">A </w:t>
      </w:r>
      <w:r w:rsidR="00380305" w:rsidRPr="00380305">
        <w:t>“</w:t>
      </w:r>
      <w:r>
        <w:rPr>
          <w:b/>
          <w:color w:val="0072C6"/>
        </w:rPr>
        <w:t>Percentagem da Disponibilidade de Leitura, múltiplas regiões</w:t>
      </w:r>
      <w:r w:rsidR="00380305">
        <w:t>”</w:t>
      </w:r>
      <w:r>
        <w:t xml:space="preserve"> para o Serviço Azure Cosmos DB implementado através da Conta da</w:t>
      </w:r>
      <w:r w:rsidR="00516AB4">
        <w:t> </w:t>
      </w:r>
      <w:r>
        <w:t>Base</w:t>
      </w:r>
      <w:r w:rsidR="00516AB4">
        <w:t> </w:t>
      </w:r>
      <w:r>
        <w:t>de Dados configurada para abranger duas ou mais</w:t>
      </w:r>
      <w:r>
        <w:rPr>
          <w:rFonts w:ascii="Segoe UI" w:hAnsi="Segoe UI"/>
          <w:color w:val="505050"/>
          <w:szCs w:val="18"/>
        </w:rPr>
        <w:t xml:space="preserve"> </w:t>
      </w:r>
      <w:r>
        <w:t>regiões é calculada ao subtrair de 100% a Taxa Média de Erros de Leitura para</w:t>
      </w:r>
      <w:r w:rsidR="00516AB4">
        <w:t> </w:t>
      </w:r>
      <w:r>
        <w:t>uma</w:t>
      </w:r>
      <w:r w:rsidR="00516AB4">
        <w:t> </w:t>
      </w:r>
      <w:r>
        <w:t>determinada subscrição do Microsoft Azure num Período Aplicável.</w:t>
      </w:r>
    </w:p>
    <w:p w14:paraId="138E383A" w14:textId="2F61485F" w:rsidR="004005AF" w:rsidRPr="00EF7CF9" w:rsidRDefault="004005AF" w:rsidP="00F01ED6">
      <w:pPr>
        <w:pStyle w:val="ProductList-Body"/>
        <w:ind w:left="360"/>
      </w:pPr>
      <w:r>
        <w:t>A Percentagem de Disponibilidade de Leitura é representada pela seguinte fórmula:</w:t>
      </w:r>
    </w:p>
    <w:p w14:paraId="42F47F2F" w14:textId="7AE3AE21" w:rsidR="004005AF" w:rsidRPr="00B44CF9" w:rsidRDefault="004005AF" w:rsidP="00A12377">
      <w:pPr>
        <w:pStyle w:val="ListParagraph"/>
        <w:spacing w:before="120" w:line="240" w:lineRule="auto"/>
        <w:contextualSpacing w:val="0"/>
        <w:jc w:val="center"/>
        <w:rPr>
          <w:rFonts w:ascii="Cambria Math" w:hAnsi="Cambria Math" w:cs="Tahoma"/>
          <w:i/>
          <w:sz w:val="18"/>
          <w:szCs w:val="18"/>
        </w:rPr>
      </w:pPr>
      <w:r>
        <w:rPr>
          <w:rFonts w:ascii="Cambria Math" w:hAnsi="Cambria Math" w:cs="Tahoma"/>
          <w:i/>
          <w:sz w:val="18"/>
          <w:szCs w:val="18"/>
        </w:rPr>
        <w:t xml:space="preserve">100% </w:t>
      </w:r>
      <w:r w:rsidR="00D2686E">
        <w:rPr>
          <w:rFonts w:ascii="Cambria Math" w:hAnsi="Cambria Math" w:cs="Tahoma"/>
          <w:i/>
          <w:sz w:val="18"/>
          <w:szCs w:val="18"/>
        </w:rPr>
        <w:t>–</w:t>
      </w:r>
      <w:r>
        <w:rPr>
          <w:rFonts w:ascii="Cambria Math" w:hAnsi="Cambria Math" w:cs="Tahoma"/>
          <w:i/>
          <w:sz w:val="18"/>
          <w:szCs w:val="18"/>
        </w:rPr>
        <w:t xml:space="preserve"> Taxa Média de Erros de Leitura</w:t>
      </w:r>
    </w:p>
    <w:p w14:paraId="38C0055E"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F01ED6">
            <w:pPr>
              <w:pStyle w:val="ProductList-OfferingBody"/>
              <w:jc w:val="center"/>
              <w:rPr>
                <w:color w:val="FFFFFF" w:themeColor="background1"/>
              </w:rPr>
            </w:pPr>
            <w:r>
              <w:rPr>
                <w:color w:val="FFFFFF" w:themeColor="background1"/>
              </w:rPr>
              <w:t>Percentagem de Disponibilidade de Leitura</w:t>
            </w:r>
          </w:p>
        </w:tc>
        <w:tc>
          <w:tcPr>
            <w:tcW w:w="5220" w:type="dxa"/>
            <w:shd w:val="clear" w:color="auto" w:fill="0072C6"/>
          </w:tcPr>
          <w:p w14:paraId="7EAE755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0F31B4">
        <w:tc>
          <w:tcPr>
            <w:tcW w:w="5220" w:type="dxa"/>
          </w:tcPr>
          <w:p w14:paraId="392D5057" w14:textId="77777777" w:rsidR="004005AF" w:rsidRPr="00EF7CF9" w:rsidRDefault="004005AF" w:rsidP="00F01ED6">
            <w:pPr>
              <w:pStyle w:val="ProductList-OfferingBody"/>
              <w:jc w:val="center"/>
            </w:pPr>
            <w:r>
              <w:t>&lt; 99,999%</w:t>
            </w:r>
          </w:p>
        </w:tc>
        <w:tc>
          <w:tcPr>
            <w:tcW w:w="5220" w:type="dxa"/>
          </w:tcPr>
          <w:p w14:paraId="1A6FFD90" w14:textId="77777777" w:rsidR="004005AF" w:rsidRPr="00EF7CF9" w:rsidRDefault="004005AF" w:rsidP="00F01ED6">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F01ED6">
            <w:pPr>
              <w:pStyle w:val="ProductList-OfferingBody"/>
              <w:jc w:val="center"/>
            </w:pPr>
            <w:r>
              <w:t>&lt; 99%</w:t>
            </w:r>
          </w:p>
        </w:tc>
        <w:tc>
          <w:tcPr>
            <w:tcW w:w="5220" w:type="dxa"/>
          </w:tcPr>
          <w:p w14:paraId="0CC25834" w14:textId="77777777" w:rsidR="004005AF" w:rsidRPr="00EF7CF9" w:rsidRDefault="004005AF" w:rsidP="00F01ED6">
            <w:pPr>
              <w:pStyle w:val="ProductList-OfferingBody"/>
              <w:jc w:val="center"/>
            </w:pPr>
            <w:r>
              <w:t>25%</w:t>
            </w:r>
          </w:p>
        </w:tc>
      </w:tr>
    </w:tbl>
    <w:p w14:paraId="16EE59B5" w14:textId="748FB22D" w:rsidR="004005AF" w:rsidRDefault="004005AF" w:rsidP="00F01ED6">
      <w:pPr>
        <w:pStyle w:val="ProductList-Body"/>
        <w:ind w:left="360"/>
      </w:pPr>
      <w:r>
        <w:t xml:space="preserve">A </w:t>
      </w:r>
      <w:r w:rsidR="00380305" w:rsidRPr="00380305">
        <w:t>“</w:t>
      </w:r>
      <w:r>
        <w:rPr>
          <w:b/>
          <w:color w:val="0072C6"/>
        </w:rPr>
        <w:t>Percentagem de Disponibilidade de Múltiplas Localizações de Escrita</w:t>
      </w:r>
      <w:r w:rsidR="00380305">
        <w:t>”</w:t>
      </w:r>
      <w:r>
        <w:rPr>
          <w:b/>
          <w:color w:val="00188F"/>
        </w:rPr>
        <w:t xml:space="preserve"> </w:t>
      </w:r>
      <w:r>
        <w:t xml:space="preserve">para o Serviço Azure Cosmos DB implementado através de Contas da Base de Dados configuradas para abranger múltiplas regiões do Azure com múltiplas localizações graváveis é calculada ao subtrair de 100% a Taxa Média de Erros para uma determinada subscrição do Microsoft Azure num Período Aplicável. </w:t>
      </w:r>
    </w:p>
    <w:p w14:paraId="50F42BFA" w14:textId="3D482DA0" w:rsidR="004005AF" w:rsidRDefault="004005AF" w:rsidP="00F01ED6">
      <w:pPr>
        <w:pStyle w:val="ProductList-Body"/>
        <w:ind w:left="360"/>
        <w:rPr>
          <w:color w:val="00188F"/>
        </w:rPr>
      </w:pPr>
      <w:r>
        <w:t>A Percentagem de Disponibilidade é representada pela seguinte fórmula:</w:t>
      </w:r>
    </w:p>
    <w:p w14:paraId="5C0160BB" w14:textId="0100CEA7" w:rsidR="004005AF" w:rsidRPr="00445EC8" w:rsidRDefault="004005AF" w:rsidP="00A12377">
      <w:pPr>
        <w:pStyle w:val="ListParagraph"/>
        <w:spacing w:before="120" w:line="240" w:lineRule="auto"/>
        <w:jc w:val="center"/>
        <w:rPr>
          <w:rFonts w:ascii="Cambria Math" w:hAnsi="Cambria Math" w:cs="Tahoma"/>
          <w:i/>
          <w:sz w:val="18"/>
          <w:szCs w:val="18"/>
        </w:rPr>
      </w:pPr>
      <w:r>
        <w:rPr>
          <w:rFonts w:ascii="Cambria Math" w:hAnsi="Cambria Math" w:cs="Tahoma"/>
          <w:i/>
          <w:sz w:val="18"/>
          <w:szCs w:val="18"/>
        </w:rPr>
        <w:t xml:space="preserve">% de Período de Disponibilidade = 100% </w:t>
      </w:r>
      <w:r w:rsidR="00D2686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F01ED6">
            <w:pPr>
              <w:pStyle w:val="ProductList-OfferingBody"/>
              <w:jc w:val="center"/>
              <w:rPr>
                <w:color w:val="FFFFFF" w:themeColor="background1"/>
              </w:rPr>
            </w:pPr>
            <w:r>
              <w:rPr>
                <w:color w:val="FFFFFF" w:themeColor="background1"/>
              </w:rPr>
              <w:t>Percentagem de Disponibilidade de Múltiplas Localizações de Escrita</w:t>
            </w:r>
          </w:p>
        </w:tc>
        <w:tc>
          <w:tcPr>
            <w:tcW w:w="5220" w:type="dxa"/>
            <w:shd w:val="clear" w:color="auto" w:fill="0072C6"/>
          </w:tcPr>
          <w:p w14:paraId="140398F3"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0F31B4">
        <w:tc>
          <w:tcPr>
            <w:tcW w:w="5220" w:type="dxa"/>
          </w:tcPr>
          <w:p w14:paraId="0FF17567" w14:textId="77777777" w:rsidR="004005AF" w:rsidRPr="00EF7CF9" w:rsidRDefault="004005AF" w:rsidP="00F01ED6">
            <w:pPr>
              <w:pStyle w:val="ProductList-OfferingBody"/>
              <w:jc w:val="center"/>
            </w:pPr>
            <w:r>
              <w:t>&lt; 99,999%</w:t>
            </w:r>
          </w:p>
        </w:tc>
        <w:tc>
          <w:tcPr>
            <w:tcW w:w="5220" w:type="dxa"/>
          </w:tcPr>
          <w:p w14:paraId="3D31BB6C" w14:textId="77777777" w:rsidR="004005AF" w:rsidRPr="00EF7CF9" w:rsidRDefault="004005AF" w:rsidP="00F01ED6">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F01ED6">
            <w:pPr>
              <w:pStyle w:val="ProductList-OfferingBody"/>
              <w:jc w:val="center"/>
            </w:pPr>
            <w:r>
              <w:t>&lt; 99%</w:t>
            </w:r>
          </w:p>
        </w:tc>
        <w:tc>
          <w:tcPr>
            <w:tcW w:w="5220" w:type="dxa"/>
          </w:tcPr>
          <w:p w14:paraId="2D89B6BE" w14:textId="77777777" w:rsidR="004005AF" w:rsidRPr="00EF7CF9" w:rsidRDefault="004005AF" w:rsidP="00F01ED6">
            <w:pPr>
              <w:pStyle w:val="ProductList-OfferingBody"/>
              <w:jc w:val="center"/>
            </w:pPr>
            <w:r>
              <w:t>25%</w:t>
            </w:r>
          </w:p>
        </w:tc>
      </w:tr>
    </w:tbl>
    <w:p w14:paraId="709245B5" w14:textId="77777777" w:rsidR="004005AF" w:rsidRPr="000974C9" w:rsidRDefault="004005AF" w:rsidP="00F01ED6">
      <w:pPr>
        <w:pStyle w:val="ProductList-Body"/>
        <w:rPr>
          <w:sz w:val="12"/>
          <w:szCs w:val="12"/>
        </w:rPr>
      </w:pPr>
    </w:p>
    <w:p w14:paraId="368915AF" w14:textId="77777777" w:rsidR="004005AF" w:rsidRPr="00EF7CF9" w:rsidRDefault="004005AF" w:rsidP="00F01ED6">
      <w:pPr>
        <w:pStyle w:val="ProductList-Body"/>
        <w:tabs>
          <w:tab w:val="clear" w:pos="360"/>
        </w:tabs>
        <w:rPr>
          <w:b/>
          <w:color w:val="00188F"/>
        </w:rPr>
      </w:pPr>
      <w:r>
        <w:rPr>
          <w:b/>
          <w:color w:val="00188F"/>
        </w:rPr>
        <w:lastRenderedPageBreak/>
        <w:t>SLA de produtividade</w:t>
      </w:r>
    </w:p>
    <w:p w14:paraId="4411A7D3" w14:textId="63AB9958" w:rsidR="004005AF" w:rsidRPr="00EF7CF9" w:rsidRDefault="00380305" w:rsidP="00F01ED6">
      <w:pPr>
        <w:pStyle w:val="ProductList-Body"/>
        <w:ind w:left="360"/>
      </w:pPr>
      <w:r>
        <w:t>“</w:t>
      </w:r>
      <w:r w:rsidR="004005AF">
        <w:rPr>
          <w:b/>
          <w:color w:val="0072C6"/>
        </w:rPr>
        <w:t>Pedidos com Falha de Débito</w:t>
      </w:r>
      <w:r>
        <w:t>”</w:t>
      </w:r>
      <w:r w:rsidR="004005AF">
        <w:t xml:space="preserve"> são Pedidos com Taxa Limitada que resultam num Código de Erro, antes das RUs Consumidas excederem as</w:t>
      </w:r>
      <w:r w:rsidR="00D53B5F">
        <w:t> </w:t>
      </w:r>
      <w:r w:rsidR="004005AF">
        <w:t>RUs Aprovisionadas para uma partição no Contentor num determinado segundo.</w:t>
      </w:r>
    </w:p>
    <w:p w14:paraId="74602DE7" w14:textId="39F23F3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28CDF879" w14:textId="4D38200F"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w:t>
      </w:r>
    </w:p>
    <w:p w14:paraId="00C1EFAF" w14:textId="57C2B66E" w:rsidR="004005AF" w:rsidRDefault="004005AF" w:rsidP="00F01ED6">
      <w:pPr>
        <w:pStyle w:val="ProductList-Body"/>
        <w:ind w:left="360"/>
      </w:pPr>
      <w:r>
        <w:t xml:space="preserve">A </w:t>
      </w:r>
      <w:r w:rsidR="00380305">
        <w:t>“</w:t>
      </w:r>
      <w:r>
        <w:rPr>
          <w:b/>
          <w:color w:val="0072C6"/>
        </w:rPr>
        <w:t>Percentagem de Débito</w:t>
      </w:r>
      <w:r w:rsidR="00380305">
        <w:t>”</w:t>
      </w:r>
      <w:r>
        <w:t xml:space="preserve"> para o Serviço Azure Cosmos</w:t>
      </w:r>
      <w:r>
        <w:rPr>
          <w:rStyle w:val="ProductList-BodyChar"/>
        </w:rPr>
        <w:t xml:space="preserve"> DB</w:t>
      </w:r>
      <w:r>
        <w:t xml:space="preserve"> é calculada ao subtrair de 100% a Taxa Média de Erros para uma determinada subscrição do Microsoft Azure num Período Aplicável. </w:t>
      </w:r>
    </w:p>
    <w:p w14:paraId="2B14C91E" w14:textId="61E0049C" w:rsidR="004005AF" w:rsidRPr="00EF7CF9" w:rsidRDefault="004005AF" w:rsidP="00F01ED6">
      <w:pPr>
        <w:pStyle w:val="ProductList-Body"/>
        <w:ind w:left="360"/>
      </w:pPr>
      <w:r>
        <w:t>A Percentagem de Débito é representada pela seguinte fórmula:</w:t>
      </w:r>
    </w:p>
    <w:p w14:paraId="24E4085B" w14:textId="246B5501" w:rsidR="004005AF" w:rsidRPr="00EF7CF9" w:rsidRDefault="008E7C1C" w:rsidP="00A12377">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 Taxa Média de Erros </m:t>
          </m:r>
        </m:oMath>
      </m:oMathPara>
    </w:p>
    <w:p w14:paraId="5B21488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F01ED6">
            <w:pPr>
              <w:pStyle w:val="ProductList-OfferingBody"/>
              <w:jc w:val="center"/>
              <w:rPr>
                <w:color w:val="FFFFFF" w:themeColor="background1"/>
              </w:rPr>
            </w:pPr>
            <w:r>
              <w:rPr>
                <w:color w:val="FFFFFF" w:themeColor="background1"/>
              </w:rPr>
              <w:t>Percentagem de Débito</w:t>
            </w:r>
          </w:p>
        </w:tc>
        <w:tc>
          <w:tcPr>
            <w:tcW w:w="5220" w:type="dxa"/>
            <w:shd w:val="clear" w:color="auto" w:fill="0072C6"/>
          </w:tcPr>
          <w:p w14:paraId="0DE5CEE7"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0F31B4">
        <w:tc>
          <w:tcPr>
            <w:tcW w:w="5220" w:type="dxa"/>
          </w:tcPr>
          <w:p w14:paraId="45D15F9F" w14:textId="77777777" w:rsidR="004005AF" w:rsidRPr="00EF7CF9" w:rsidRDefault="004005AF" w:rsidP="00F01ED6">
            <w:pPr>
              <w:pStyle w:val="ProductList-OfferingBody"/>
              <w:jc w:val="center"/>
            </w:pPr>
            <w:r>
              <w:t>&lt; 99,99%</w:t>
            </w:r>
          </w:p>
        </w:tc>
        <w:tc>
          <w:tcPr>
            <w:tcW w:w="5220" w:type="dxa"/>
          </w:tcPr>
          <w:p w14:paraId="0C4E3866" w14:textId="77777777" w:rsidR="004005AF" w:rsidRPr="00EF7CF9" w:rsidRDefault="004005AF" w:rsidP="00F01ED6">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F01ED6">
            <w:pPr>
              <w:pStyle w:val="ProductList-OfferingBody"/>
              <w:jc w:val="center"/>
            </w:pPr>
            <w:r>
              <w:t>&lt; 99%</w:t>
            </w:r>
          </w:p>
        </w:tc>
        <w:tc>
          <w:tcPr>
            <w:tcW w:w="5220" w:type="dxa"/>
          </w:tcPr>
          <w:p w14:paraId="479B13B2" w14:textId="77777777" w:rsidR="004005AF" w:rsidRPr="00EF7CF9" w:rsidRDefault="004005AF" w:rsidP="00F01ED6">
            <w:pPr>
              <w:pStyle w:val="ProductList-OfferingBody"/>
              <w:jc w:val="center"/>
            </w:pPr>
            <w:r>
              <w:t>25%</w:t>
            </w:r>
          </w:p>
        </w:tc>
      </w:tr>
    </w:tbl>
    <w:p w14:paraId="39A739D8" w14:textId="77777777" w:rsidR="004005AF" w:rsidRPr="00EF7CF9" w:rsidRDefault="004005AF" w:rsidP="00F01ED6">
      <w:pPr>
        <w:pStyle w:val="ProductList-Body"/>
      </w:pPr>
    </w:p>
    <w:p w14:paraId="5F62F759" w14:textId="77777777" w:rsidR="004005AF" w:rsidRPr="00EF7CF9" w:rsidRDefault="004005AF" w:rsidP="00F01ED6">
      <w:pPr>
        <w:pStyle w:val="ProductList-Body"/>
        <w:tabs>
          <w:tab w:val="clear" w:pos="360"/>
        </w:tabs>
        <w:rPr>
          <w:b/>
          <w:color w:val="00188F"/>
        </w:rPr>
      </w:pPr>
      <w:r>
        <w:rPr>
          <w:b/>
          <w:color w:val="00188F"/>
        </w:rPr>
        <w:t>SLA de Consistência</w:t>
      </w:r>
    </w:p>
    <w:p w14:paraId="72B7F00A" w14:textId="3DF643D7" w:rsidR="004005AF" w:rsidRPr="00EF7CF9" w:rsidRDefault="00380305" w:rsidP="00F01ED6">
      <w:pPr>
        <w:pStyle w:val="ProductList-Body"/>
        <w:ind w:left="360"/>
      </w:pPr>
      <w:r>
        <w:t>“</w:t>
      </w:r>
      <w:r w:rsidR="004005AF">
        <w:rPr>
          <w:b/>
          <w:color w:val="0072C6"/>
        </w:rPr>
        <w:t>K</w:t>
      </w:r>
      <w:r>
        <w:t>”</w:t>
      </w:r>
      <w:r w:rsidR="004005AF">
        <w:t xml:space="preserve"> é o número de versões de um determinado item de dados para o qual as leituras estão atrasadas em relação às escritas.</w:t>
      </w:r>
    </w:p>
    <w:p w14:paraId="1580A041" w14:textId="29D4EF00" w:rsidR="004005AF" w:rsidRPr="00EF7CF9" w:rsidRDefault="00380305" w:rsidP="00F01ED6">
      <w:pPr>
        <w:pStyle w:val="ProductList-Body"/>
        <w:ind w:left="360"/>
      </w:pPr>
      <w:r>
        <w:t>“</w:t>
      </w:r>
      <w:r w:rsidR="004005AF">
        <w:rPr>
          <w:b/>
          <w:color w:val="0072C6"/>
        </w:rPr>
        <w:t>T</w:t>
      </w:r>
      <w:r>
        <w:t>”</w:t>
      </w:r>
      <w:r w:rsidR="004005AF">
        <w:t xml:space="preserve"> é um determinado intervalo de tempo.</w:t>
      </w:r>
    </w:p>
    <w:p w14:paraId="02909165" w14:textId="40C1B7BC" w:rsidR="004005AF" w:rsidRDefault="00380305" w:rsidP="00F01ED6">
      <w:pPr>
        <w:pStyle w:val="ProductList-Body"/>
        <w:ind w:left="360"/>
      </w:pPr>
      <w:r>
        <w:t>“</w:t>
      </w:r>
      <w:r w:rsidR="004005AF">
        <w:rPr>
          <w:b/>
          <w:color w:val="0072C6"/>
        </w:rPr>
        <w:t>Nível de consistência</w:t>
      </w:r>
      <w:r>
        <w:t>”</w:t>
      </w:r>
      <w:r w:rsidR="004005AF">
        <w:t xml:space="preserve"> é a definição de um determinado pedido de leitura que suporta garantias de consistência. A tabela seguinte captura as garantias associadas aos Níveis de Consistência. Note que os Níveis de Consistência de Sessão, de Ecletismo, de Prefixo Consistente e Eventual são todos referidos como </w:t>
      </w:r>
      <w:r>
        <w:t>“</w:t>
      </w:r>
      <w:r w:rsidR="004005AF">
        <w:t>relaxados</w:t>
      </w:r>
      <w:r>
        <w:t>”</w:t>
      </w:r>
      <w:r w:rsidR="004005AF">
        <w:t>.</w:t>
      </w:r>
    </w:p>
    <w:p w14:paraId="0B6C30EF" w14:textId="77777777" w:rsidR="00A12377" w:rsidRPr="00EF7CF9" w:rsidRDefault="00A12377" w:rsidP="00F01ED6">
      <w:pPr>
        <w:pStyle w:val="ProductList-Body"/>
        <w:ind w:left="360"/>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F01ED6">
            <w:pPr>
              <w:pStyle w:val="ProductList-OfferingBody"/>
              <w:rPr>
                <w:color w:val="FFFFFF" w:themeColor="background1"/>
              </w:rPr>
            </w:pPr>
            <w:r>
              <w:rPr>
                <w:color w:val="FFFFFF" w:themeColor="background1"/>
              </w:rPr>
              <w:t>Nível de Consistência</w:t>
            </w:r>
          </w:p>
        </w:tc>
        <w:tc>
          <w:tcPr>
            <w:tcW w:w="5220" w:type="dxa"/>
            <w:shd w:val="clear" w:color="auto" w:fill="0072C6"/>
          </w:tcPr>
          <w:p w14:paraId="00B71A80" w14:textId="77777777" w:rsidR="004005AF" w:rsidRPr="00EF7CF9" w:rsidRDefault="004005AF" w:rsidP="00F01ED6">
            <w:pPr>
              <w:pStyle w:val="ProductList-OfferingBody"/>
              <w:rPr>
                <w:color w:val="FFFFFF" w:themeColor="background1"/>
              </w:rPr>
            </w:pPr>
            <w:r>
              <w:rPr>
                <w:color w:val="FFFFFF" w:themeColor="background1"/>
              </w:rPr>
              <w:t>Garantias de Consistência</w:t>
            </w:r>
          </w:p>
        </w:tc>
      </w:tr>
      <w:tr w:rsidR="004005AF" w:rsidRPr="00B44CF9" w14:paraId="79574E8B" w14:textId="77777777" w:rsidTr="000F31B4">
        <w:tc>
          <w:tcPr>
            <w:tcW w:w="5220" w:type="dxa"/>
          </w:tcPr>
          <w:p w14:paraId="5710D940" w14:textId="77777777" w:rsidR="004005AF" w:rsidRPr="00EF7CF9" w:rsidRDefault="004005AF" w:rsidP="00F01ED6">
            <w:pPr>
              <w:pStyle w:val="ProductList-OfferingBody"/>
            </w:pPr>
            <w:r>
              <w:t>Forte</w:t>
            </w:r>
          </w:p>
        </w:tc>
        <w:tc>
          <w:tcPr>
            <w:tcW w:w="5220" w:type="dxa"/>
          </w:tcPr>
          <w:p w14:paraId="3C6B3EDC" w14:textId="77777777" w:rsidR="004005AF" w:rsidRPr="00EF7CF9" w:rsidRDefault="004005AF" w:rsidP="00F01ED6">
            <w:pPr>
              <w:pStyle w:val="ProductList-OfferingBody"/>
            </w:pPr>
            <w:r>
              <w:t>Coerência atómica</w:t>
            </w:r>
          </w:p>
        </w:tc>
      </w:tr>
      <w:tr w:rsidR="004005AF" w:rsidRPr="00B44CF9" w14:paraId="3B5F933E" w14:textId="77777777" w:rsidTr="000F31B4">
        <w:tc>
          <w:tcPr>
            <w:tcW w:w="5220" w:type="dxa"/>
          </w:tcPr>
          <w:p w14:paraId="256D156C" w14:textId="77777777" w:rsidR="004005AF" w:rsidRPr="00EF7CF9" w:rsidRDefault="004005AF" w:rsidP="00F01ED6">
            <w:pPr>
              <w:pStyle w:val="ProductList-OfferingBody"/>
            </w:pPr>
            <w:r>
              <w:t>Sessão</w:t>
            </w:r>
          </w:p>
        </w:tc>
        <w:tc>
          <w:tcPr>
            <w:tcW w:w="5220" w:type="dxa"/>
          </w:tcPr>
          <w:p w14:paraId="64DB8B80"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583A157" w14:textId="77777777" w:rsidR="004005AF" w:rsidRPr="00EF7CF9" w:rsidRDefault="004005AF" w:rsidP="00F01ED6">
            <w:pPr>
              <w:pStyle w:val="ProductList-Body"/>
              <w:rPr>
                <w:sz w:val="16"/>
                <w:szCs w:val="16"/>
              </w:rPr>
            </w:pPr>
            <w:r>
              <w:rPr>
                <w:sz w:val="16"/>
                <w:szCs w:val="16"/>
              </w:rPr>
              <w:t>Leitura Monotónica</w:t>
            </w:r>
          </w:p>
          <w:p w14:paraId="35D15967" w14:textId="77777777" w:rsidR="004005AF" w:rsidRPr="00EF7CF9" w:rsidRDefault="004005AF" w:rsidP="00F01ED6">
            <w:pPr>
              <w:pStyle w:val="ProductList-Body"/>
            </w:pPr>
            <w:r>
              <w:rPr>
                <w:sz w:val="16"/>
                <w:szCs w:val="16"/>
              </w:rPr>
              <w:t>Prefixo Consistente</w:t>
            </w:r>
          </w:p>
        </w:tc>
      </w:tr>
      <w:tr w:rsidR="004005AF" w:rsidRPr="00B44CF9" w14:paraId="4C1EC5FC" w14:textId="77777777" w:rsidTr="000F31B4">
        <w:tc>
          <w:tcPr>
            <w:tcW w:w="5220" w:type="dxa"/>
          </w:tcPr>
          <w:p w14:paraId="5CA08EA8" w14:textId="77777777" w:rsidR="004005AF" w:rsidRPr="00EF7CF9" w:rsidRDefault="004005AF" w:rsidP="00F01ED6">
            <w:pPr>
              <w:pStyle w:val="ProductList-OfferingBody"/>
            </w:pPr>
            <w:r>
              <w:t>Ecletismo</w:t>
            </w:r>
          </w:p>
        </w:tc>
        <w:tc>
          <w:tcPr>
            <w:tcW w:w="5220" w:type="dxa"/>
          </w:tcPr>
          <w:p w14:paraId="168DBAC5"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642D515" w14:textId="77777777" w:rsidR="004005AF" w:rsidRPr="00EF7CF9" w:rsidRDefault="004005AF" w:rsidP="00F01ED6">
            <w:pPr>
              <w:pStyle w:val="ProductList-Body"/>
              <w:rPr>
                <w:sz w:val="16"/>
                <w:szCs w:val="16"/>
              </w:rPr>
            </w:pPr>
            <w:r>
              <w:rPr>
                <w:sz w:val="16"/>
                <w:szCs w:val="16"/>
              </w:rPr>
              <w:t>Leitura Monotónica (numa região)</w:t>
            </w:r>
          </w:p>
          <w:p w14:paraId="5CF56556" w14:textId="77777777" w:rsidR="004005AF" w:rsidRPr="00EF7CF9" w:rsidRDefault="004005AF" w:rsidP="00F01ED6">
            <w:pPr>
              <w:pStyle w:val="ProductList-OfferingBody"/>
              <w:rPr>
                <w:szCs w:val="16"/>
              </w:rPr>
            </w:pPr>
            <w:r>
              <w:rPr>
                <w:szCs w:val="16"/>
              </w:rPr>
              <w:t>Prefixo Consistente</w:t>
            </w:r>
          </w:p>
          <w:p w14:paraId="4D3D84DC" w14:textId="77777777" w:rsidR="004005AF" w:rsidRPr="00EF7CF9" w:rsidRDefault="004005AF" w:rsidP="00F01ED6">
            <w:pPr>
              <w:pStyle w:val="ProductList-Body"/>
              <w:rPr>
                <w:sz w:val="16"/>
                <w:szCs w:val="16"/>
              </w:rPr>
            </w:pPr>
            <w:r>
              <w:rPr>
                <w:sz w:val="16"/>
                <w:szCs w:val="16"/>
              </w:rPr>
              <w:t>Estagnação Limitada &lt; K,T</w:t>
            </w:r>
          </w:p>
        </w:tc>
      </w:tr>
      <w:tr w:rsidR="004005AF" w:rsidRPr="00B44CF9" w14:paraId="0AE56105" w14:textId="77777777" w:rsidTr="000F31B4">
        <w:tc>
          <w:tcPr>
            <w:tcW w:w="5220" w:type="dxa"/>
          </w:tcPr>
          <w:p w14:paraId="539E3B1F" w14:textId="77777777" w:rsidR="004005AF" w:rsidRPr="00EF7CF9" w:rsidRDefault="004005AF" w:rsidP="00F01ED6">
            <w:pPr>
              <w:pStyle w:val="ProductList-OfferingBody"/>
            </w:pPr>
            <w:r>
              <w:t>Prefixo Consistente</w:t>
            </w:r>
          </w:p>
        </w:tc>
        <w:tc>
          <w:tcPr>
            <w:tcW w:w="5220" w:type="dxa"/>
          </w:tcPr>
          <w:p w14:paraId="784F07A6"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0F31B4">
        <w:tc>
          <w:tcPr>
            <w:tcW w:w="5220" w:type="dxa"/>
          </w:tcPr>
          <w:p w14:paraId="1CC7BE15" w14:textId="77777777" w:rsidR="004005AF" w:rsidRPr="00EF7CF9" w:rsidRDefault="004005AF" w:rsidP="00F01ED6">
            <w:pPr>
              <w:pStyle w:val="ProductList-OfferingBody"/>
            </w:pPr>
            <w:r>
              <w:t>Eventual</w:t>
            </w:r>
          </w:p>
        </w:tc>
        <w:tc>
          <w:tcPr>
            <w:tcW w:w="5220" w:type="dxa"/>
          </w:tcPr>
          <w:p w14:paraId="35D3E71F" w14:textId="77777777" w:rsidR="004005AF" w:rsidRPr="00EF7CF9" w:rsidRDefault="004005AF" w:rsidP="00F01ED6">
            <w:pPr>
              <w:pStyle w:val="ProductList-OfferingBody"/>
            </w:pPr>
            <w:r>
              <w:t>Eventual</w:t>
            </w:r>
          </w:p>
        </w:tc>
      </w:tr>
    </w:tbl>
    <w:p w14:paraId="71C434D2" w14:textId="7D871AAA" w:rsidR="004005AF" w:rsidRPr="00EF7CF9" w:rsidRDefault="004005AF" w:rsidP="00F01ED6">
      <w:pPr>
        <w:pStyle w:val="ProductList-Body"/>
        <w:ind w:left="360"/>
      </w:pPr>
      <w:r>
        <w:t xml:space="preserve">A </w:t>
      </w:r>
      <w:r w:rsidR="00380305">
        <w:t>“</w:t>
      </w:r>
      <w:r>
        <w:rPr>
          <w:b/>
          <w:color w:val="0072C6"/>
        </w:rPr>
        <w:t>Taxa de Violações de Consistência</w:t>
      </w:r>
      <w:r w:rsidR="00380305">
        <w:t>”</w:t>
      </w:r>
      <w:r>
        <w:t xml:space="preserve"> indica os Pedidos Com Êxito que não foi possível entregar ao exercer as garantias de consistência especificadas para o Nível de Consistência escolhido, dividido pelo Total de Pedidos, em todos os Recursos numa determinada subscrição do</w:t>
      </w:r>
      <w:r w:rsidR="00320399">
        <w:t> </w:t>
      </w:r>
      <w:r>
        <w:t>Azure, durante um determinado intervalo de uma hora. Se o Total de Pedidos num determinado intervalo de uma hora for zero, a Taxa de</w:t>
      </w:r>
      <w:r w:rsidR="00320399">
        <w:t> </w:t>
      </w:r>
      <w:r>
        <w:t>Violação de Consistência para esse intervalo é de 0%.</w:t>
      </w:r>
    </w:p>
    <w:p w14:paraId="0F2B553A" w14:textId="4DAC4AD3" w:rsidR="004005AF" w:rsidRPr="00EF7CF9" w:rsidRDefault="004005AF" w:rsidP="00F01ED6">
      <w:pPr>
        <w:pStyle w:val="ProductList-Body"/>
        <w:ind w:left="360"/>
      </w:pPr>
      <w:r>
        <w:t xml:space="preserve">A </w:t>
      </w:r>
      <w:r w:rsidR="00380305">
        <w:t>“</w:t>
      </w:r>
      <w:r>
        <w:rPr>
          <w:b/>
          <w:color w:val="0072C6"/>
        </w:rPr>
        <w:t>Taxa Média de Violação da Consistência</w:t>
      </w:r>
      <w:r w:rsidR="00380305">
        <w:t>”</w:t>
      </w:r>
      <w:r>
        <w:t xml:space="preserve"> para um Período Aplicável é a soma das Taxas de Violação da Consistência para cada hora no</w:t>
      </w:r>
      <w:r w:rsidR="00E8396C">
        <w:t> </w:t>
      </w:r>
      <w:r>
        <w:t>Período Aplicável, a dividir pelo número total de horas no mês de faturação.</w:t>
      </w:r>
    </w:p>
    <w:p w14:paraId="0C714C25" w14:textId="38CA9ECE" w:rsidR="004005AF" w:rsidRPr="00EF7CF9" w:rsidRDefault="004005AF" w:rsidP="00F01ED6">
      <w:pPr>
        <w:pStyle w:val="ProductList-Body"/>
        <w:ind w:left="360"/>
      </w:pPr>
      <w:r>
        <w:t xml:space="preserve">A </w:t>
      </w:r>
      <w:r w:rsidR="00380305">
        <w:t>“</w:t>
      </w:r>
      <w:r>
        <w:rPr>
          <w:b/>
          <w:color w:val="0072C6"/>
        </w:rPr>
        <w:t>Percentagem de Concretização da Consistência</w:t>
      </w:r>
      <w:r w:rsidR="00380305">
        <w:t>”</w:t>
      </w:r>
      <w:r>
        <w:t xml:space="preserve"> para o Serviço Azure Cosmos</w:t>
      </w:r>
      <w:r>
        <w:rPr>
          <w:rStyle w:val="ProductList-BodyChar"/>
        </w:rPr>
        <w:t xml:space="preserve"> DB</w:t>
      </w:r>
      <w:r>
        <w:t xml:space="preserve"> é calculada ao subtrair de 100% a Taxa de Violação da</w:t>
      </w:r>
      <w:r w:rsidR="007C5AC8">
        <w:t> </w:t>
      </w:r>
      <w:r>
        <w:t xml:space="preserve">Consistência Média para uma determinada subscrição do Microsoft Azure num Período Aplicável. </w:t>
      </w:r>
    </w:p>
    <w:p w14:paraId="7182D226" w14:textId="11AAA323" w:rsidR="004005AF" w:rsidRDefault="004005AF" w:rsidP="00F01ED6">
      <w:pPr>
        <w:pStyle w:val="ProductList-Body"/>
        <w:ind w:left="360"/>
      </w:pPr>
      <w:r>
        <w:rPr>
          <w:b/>
          <w:color w:val="0072C6"/>
        </w:rPr>
        <w:t>Percentagem de Consistência</w:t>
      </w:r>
      <w:r w:rsidRPr="00473DD3">
        <w:rPr>
          <w:b/>
          <w:color w:val="0072C6"/>
        </w:rPr>
        <w:t>:</w:t>
      </w:r>
      <w:r>
        <w:t xml:space="preserve"> Para o Serviço Azure Cosmos</w:t>
      </w:r>
      <w:r>
        <w:rPr>
          <w:rStyle w:val="ProductList-BodyChar"/>
        </w:rPr>
        <w:t xml:space="preserve"> DB</w:t>
      </w:r>
      <w:r>
        <w:t>, é calculada ao subtrair de 100% a Taxa Média de Violação da Consistência para uma determinada subscrição do Microsoft Azure num Período Aplicável.</w:t>
      </w:r>
    </w:p>
    <w:p w14:paraId="42C4EA2D" w14:textId="24BA79AA" w:rsidR="004005AF" w:rsidRPr="00EF7CF9" w:rsidRDefault="004005AF" w:rsidP="00F01ED6">
      <w:pPr>
        <w:pStyle w:val="ProductList-Body"/>
        <w:ind w:left="360"/>
      </w:pPr>
      <w:r>
        <w:t>A Percentagem de Consistência é representada pela seguinte fórmula:</w:t>
      </w:r>
    </w:p>
    <w:p w14:paraId="3A965256" w14:textId="1CEA141B" w:rsidR="004005AF" w:rsidRPr="00EF7CF9" w:rsidRDefault="008E7C1C" w:rsidP="009F16F1">
      <w:pPr>
        <w:pStyle w:val="ListParagraph"/>
        <w:spacing w:before="120" w:after="0" w:line="240" w:lineRule="auto"/>
        <w:rPr>
          <w:rFonts w:ascii="Cambria Math" w:hAnsi="Cambria Math" w:cs="Tahoma"/>
          <w:i/>
          <w:sz w:val="12"/>
          <w:szCs w:val="12"/>
        </w:rPr>
      </w:pPr>
      <m:oMathPara>
        <m:oMath>
          <m:r>
            <m:rPr>
              <m:nor/>
            </m:rPr>
            <w:rPr>
              <w:rFonts w:ascii="Cambria Math" w:hAnsi="Cambria Math" w:cs="Tahoma"/>
              <w:i/>
              <w:sz w:val="18"/>
              <w:szCs w:val="18"/>
            </w:rPr>
            <m:t>100% – Taxa de Violação da Consistência Média</m:t>
          </m:r>
        </m:oMath>
      </m:oMathPara>
    </w:p>
    <w:p w14:paraId="33E19146" w14:textId="77777777" w:rsidR="004005AF" w:rsidRPr="00EF7CF9" w:rsidRDefault="004005AF" w:rsidP="00F01ED6">
      <w:pPr>
        <w:pStyle w:val="ProductList-Body"/>
        <w:keepNext/>
        <w:ind w:left="360"/>
        <w:rPr>
          <w:color w:val="0072C6"/>
        </w:rPr>
      </w:pPr>
      <w:r>
        <w:rPr>
          <w:b/>
          <w:color w:val="0072C6"/>
        </w:rPr>
        <w:t>Crédito de Serviço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F01ED6">
            <w:pPr>
              <w:pStyle w:val="ProductList-OfferingBody"/>
              <w:jc w:val="center"/>
              <w:rPr>
                <w:color w:val="FFFFFF" w:themeColor="background1"/>
              </w:rPr>
            </w:pPr>
            <w:r>
              <w:rPr>
                <w:color w:val="FFFFFF" w:themeColor="background1"/>
              </w:rPr>
              <w:t>Percentagem de Concretização da Consistência</w:t>
            </w:r>
          </w:p>
        </w:tc>
        <w:tc>
          <w:tcPr>
            <w:tcW w:w="5220" w:type="dxa"/>
            <w:shd w:val="clear" w:color="auto" w:fill="0072C6"/>
          </w:tcPr>
          <w:p w14:paraId="59B55E7E"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0F31B4">
        <w:tc>
          <w:tcPr>
            <w:tcW w:w="5220" w:type="dxa"/>
          </w:tcPr>
          <w:p w14:paraId="236253E6" w14:textId="77777777" w:rsidR="004005AF" w:rsidRPr="00EF7CF9" w:rsidRDefault="004005AF" w:rsidP="00F01ED6">
            <w:pPr>
              <w:pStyle w:val="ProductList-OfferingBody"/>
              <w:jc w:val="center"/>
            </w:pPr>
            <w:r>
              <w:t>&lt; 99,99%</w:t>
            </w:r>
          </w:p>
        </w:tc>
        <w:tc>
          <w:tcPr>
            <w:tcW w:w="5220" w:type="dxa"/>
          </w:tcPr>
          <w:p w14:paraId="0E39649E" w14:textId="77777777" w:rsidR="004005AF" w:rsidRPr="00EF7CF9" w:rsidRDefault="004005AF" w:rsidP="00F01ED6">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F01ED6">
            <w:pPr>
              <w:pStyle w:val="ProductList-OfferingBody"/>
              <w:jc w:val="center"/>
            </w:pPr>
            <w:r>
              <w:t>&lt; 99%</w:t>
            </w:r>
          </w:p>
        </w:tc>
        <w:tc>
          <w:tcPr>
            <w:tcW w:w="5220" w:type="dxa"/>
          </w:tcPr>
          <w:p w14:paraId="13E7C80C" w14:textId="77777777" w:rsidR="004005AF" w:rsidRPr="00EF7CF9" w:rsidRDefault="004005AF" w:rsidP="00F01ED6">
            <w:pPr>
              <w:pStyle w:val="ProductList-OfferingBody"/>
              <w:jc w:val="center"/>
            </w:pPr>
            <w:r>
              <w:t>25%</w:t>
            </w:r>
          </w:p>
        </w:tc>
      </w:tr>
    </w:tbl>
    <w:p w14:paraId="5FC729A1" w14:textId="77777777" w:rsidR="004005AF" w:rsidRPr="00EF7CF9" w:rsidRDefault="004005AF" w:rsidP="00F01ED6">
      <w:pPr>
        <w:pStyle w:val="ProductList-Body"/>
        <w:tabs>
          <w:tab w:val="clear" w:pos="360"/>
        </w:tabs>
        <w:rPr>
          <w:b/>
          <w:color w:val="00188F"/>
        </w:rPr>
      </w:pPr>
      <w:r>
        <w:rPr>
          <w:b/>
          <w:color w:val="00188F"/>
        </w:rPr>
        <w:t>SLA da Latência</w:t>
      </w:r>
    </w:p>
    <w:p w14:paraId="7694E16C" w14:textId="5509B04B" w:rsidR="004005AF" w:rsidRPr="00EF7CF9" w:rsidRDefault="00380305" w:rsidP="00F01ED6">
      <w:pPr>
        <w:pStyle w:val="ProductList-Body"/>
        <w:ind w:left="360"/>
      </w:pPr>
      <w:r>
        <w:t>“</w:t>
      </w:r>
      <w:r w:rsidR="004005AF">
        <w:rPr>
          <w:b/>
          <w:color w:val="0072C6"/>
        </w:rPr>
        <w:t>Aplicação</w:t>
      </w:r>
      <w:r>
        <w:t>”</w:t>
      </w:r>
      <w:r w:rsidR="004005AF">
        <w:t xml:space="preserve"> é uma aplicação do Azure Cosmos</w:t>
      </w:r>
      <w:r w:rsidR="004005AF">
        <w:rPr>
          <w:rStyle w:val="ProductList-BodyChar"/>
        </w:rPr>
        <w:t xml:space="preserve"> DB</w:t>
      </w:r>
      <w:r w:rsidR="004005AF">
        <w:t xml:space="preserve"> implementada numa região local do Azure com funcionamento em rede acelerado ativado e</w:t>
      </w:r>
      <w:r w:rsidR="0088023E">
        <w:t> </w:t>
      </w:r>
      <w:r w:rsidR="004005AF">
        <w:t>utilizando o SDK do cliente Azure Cosmos</w:t>
      </w:r>
      <w:r w:rsidR="004005AF">
        <w:rPr>
          <w:rStyle w:val="ProductList-BodyChar"/>
        </w:rPr>
        <w:t xml:space="preserve"> DB</w:t>
      </w:r>
      <w:r w:rsidR="004005AF">
        <w:t xml:space="preserve"> configurado com conectividade direta TCP para uma determinada subscrição do Microsoft Azure num Período Aplicável.</w:t>
      </w:r>
    </w:p>
    <w:p w14:paraId="4898E791" w14:textId="08C7A803" w:rsidR="004005AF" w:rsidRDefault="00380305" w:rsidP="00F01ED6">
      <w:pPr>
        <w:pStyle w:val="ProductList-Body"/>
        <w:ind w:left="360"/>
      </w:pPr>
      <w:r>
        <w:lastRenderedPageBreak/>
        <w:t>“</w:t>
      </w:r>
      <w:r w:rsidR="004005AF">
        <w:rPr>
          <w:b/>
          <w:color w:val="0072C6"/>
        </w:rPr>
        <w:t>N</w:t>
      </w:r>
      <w:r>
        <w:t>”</w:t>
      </w:r>
      <w:r w:rsidR="004005AF">
        <w:t xml:space="preserve"> é o número de Pedidos Com Êxito para uma determinada Aplicação a efetuar operações de leitura de itens de dados ou de escrita de itens de dados com um tamanho de payload menor ou igual a 1 KB numa determinada hora.</w:t>
      </w:r>
    </w:p>
    <w:p w14:paraId="2CF87EEB" w14:textId="3536C370" w:rsidR="004005AF" w:rsidRPr="00EF7CF9" w:rsidRDefault="00380305" w:rsidP="00F01ED6">
      <w:pPr>
        <w:pStyle w:val="ProductList-Body"/>
        <w:ind w:left="360"/>
      </w:pPr>
      <w:r>
        <w:t>“</w:t>
      </w:r>
      <w:r w:rsidR="004005AF">
        <w:rPr>
          <w:b/>
          <w:color w:val="0072C6"/>
        </w:rPr>
        <w:t>S</w:t>
      </w:r>
      <w:r>
        <w:t>”</w:t>
      </w:r>
      <w:r w:rsidR="004005AF">
        <w:t xml:space="preserve"> é o conjunto ordenado por latência de tempos de resposta dos Pedidos Com Êxito por ordem ascendente para uma determinada Aplicação a efetuar operações de leitura de itens de dados ou de escrita de itens de dados com um tamanho de payload menor ou igual a 1 KB numa determinada hora.</w:t>
      </w:r>
    </w:p>
    <w:p w14:paraId="5429BDA9" w14:textId="64F35F5D" w:rsidR="004005AF" w:rsidRDefault="00380305" w:rsidP="00F01ED6">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utiliza o método de classificação mais próximo representado pela seguinte fórmula</w:t>
      </w:r>
      <w:r w:rsidR="004005AF" w:rsidRPr="00473DD3">
        <w:rPr>
          <w:rStyle w:val="ProductList-BodyChar"/>
        </w:rPr>
        <w:t>:</w:t>
      </w:r>
    </w:p>
    <w:p w14:paraId="0A10578F" w14:textId="690F3B2D" w:rsidR="004005AF" w:rsidRPr="00EF7CF9" w:rsidRDefault="00495285" w:rsidP="00F01ED6">
      <w:pPr>
        <w:pStyle w:val="ListParagraph"/>
        <w:spacing w:line="240" w:lineRule="auto"/>
        <w:ind w:left="360"/>
        <w:rPr>
          <w:rFonts w:ascii="Cambria Math" w:hAnsi="Cambria Math" w:cs="Tahoma"/>
          <w:i/>
          <w:sz w:val="12"/>
          <w:szCs w:val="12"/>
        </w:rPr>
      </w:pPr>
      <m:oMathPara>
        <m:oMath>
          <m:r>
            <m:rPr>
              <m:nor/>
            </m:rPr>
            <w:rPr>
              <w:rFonts w:ascii="Cambria Math" w:hAnsi="Cambria Math" w:cs="Tahoma"/>
              <w:i/>
              <w:iCs/>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5FE9C04" w:rsidR="004005AF" w:rsidRPr="00EF7CF9" w:rsidRDefault="00380305" w:rsidP="00F01ED6">
      <w:pPr>
        <w:pStyle w:val="ProductList-Body"/>
        <w:ind w:left="360"/>
      </w:pPr>
      <w:r>
        <w:t>“</w:t>
      </w:r>
      <w:r w:rsidR="004005AF">
        <w:rPr>
          <w:b/>
          <w:color w:val="0072C6"/>
        </w:rPr>
        <w:t>Latência P99</w:t>
      </w:r>
      <w:r>
        <w:t>”</w:t>
      </w:r>
      <w:r w:rsidR="004005AF">
        <w:t xml:space="preserve"> é o valor da Classificação Ordinal de S.</w:t>
      </w:r>
    </w:p>
    <w:p w14:paraId="6994DAF4" w14:textId="56666A42" w:rsidR="004005AF" w:rsidRPr="00EF7CF9" w:rsidRDefault="00380305" w:rsidP="00F01ED6">
      <w:pPr>
        <w:pStyle w:val="ProductList-Body"/>
        <w:ind w:left="360"/>
      </w:pPr>
      <w:r>
        <w:t>“</w:t>
      </w:r>
      <w:r w:rsidR="004005AF">
        <w:rPr>
          <w:b/>
          <w:color w:val="0072C6"/>
        </w:rPr>
        <w:t>Horas de Latência Excessiva</w:t>
      </w:r>
      <w:r>
        <w:t>”</w:t>
      </w:r>
      <w:r w:rsidR="004005AF">
        <w:t xml:space="preserve"> é o número total de intervalos de uma hora durante o qual os Pedidos Com Êxito submetidos por uma Aplicação resultaram numa Latência P99 maior ou igual a 10 ms para as operações de leitura de itens de dados ou 10 ms para as operações de</w:t>
      </w:r>
      <w:r w:rsidR="00350FCF">
        <w:t> </w:t>
      </w:r>
      <w:r w:rsidR="004005AF">
        <w:t>escrita de itens de dados. Se o número de Pedidos Com Êxito num determinado intervalo de uma hora for zero, as Horas de Latência Excessiva para esse intervalo é de 0.</w:t>
      </w:r>
    </w:p>
    <w:p w14:paraId="0EA0BAE7" w14:textId="2A328EA3" w:rsidR="004005AF" w:rsidRPr="00EF7CF9" w:rsidRDefault="00380305" w:rsidP="00F01ED6">
      <w:pPr>
        <w:pStyle w:val="ProductList-Body"/>
        <w:ind w:left="360"/>
      </w:pPr>
      <w:r>
        <w:t>“</w:t>
      </w:r>
      <w:r w:rsidR="004005AF">
        <w:rPr>
          <w:b/>
          <w:color w:val="0072C6"/>
        </w:rPr>
        <w:t>Taxa Média de Latência Excessiva</w:t>
      </w:r>
      <w:r>
        <w:t>”</w:t>
      </w:r>
      <w:r w:rsidR="004005AF">
        <w:t xml:space="preserve"> para um Período Aplicável é a soma das Horas de Latência Excessiva a dividir pelo número total de horas no Período Aplicável.</w:t>
      </w:r>
    </w:p>
    <w:p w14:paraId="472EF7D9" w14:textId="209A35DA" w:rsidR="004005AF" w:rsidRDefault="004005AF" w:rsidP="00F01ED6">
      <w:pPr>
        <w:pStyle w:val="ProductList-Body"/>
        <w:ind w:left="360"/>
      </w:pPr>
      <w:r>
        <w:t xml:space="preserve">A </w:t>
      </w:r>
      <w:r w:rsidR="00380305">
        <w:t>“</w:t>
      </w:r>
      <w:r>
        <w:rPr>
          <w:b/>
          <w:color w:val="0072C6"/>
        </w:rPr>
        <w:t>Percentagem de Concretização de Latência de P99</w:t>
      </w:r>
      <w:r w:rsidR="00380305">
        <w:t>”</w:t>
      </w:r>
      <w:r>
        <w:t xml:space="preserve"> para uma determinada Aplicação Azure Cosmos</w:t>
      </w:r>
      <w:r>
        <w:rPr>
          <w:rStyle w:val="ProductList-BodyChar"/>
        </w:rPr>
        <w:t xml:space="preserve"> DB</w:t>
      </w:r>
      <w:r>
        <w:t xml:space="preserve"> implementada através das Contas da Base de Dados destinadas a uma única região do Azure configuradas com qualquer um dos cinco Níveis de Consistência ou Contas da Base de Dados abrangendo múltiplas regiões, configuradas com qualquer um dos quatro Níveis de Consistência relaxados ao subtrair de 100% a</w:t>
      </w:r>
      <w:r w:rsidR="0090773A">
        <w:t> </w:t>
      </w:r>
      <w:r>
        <w:t>Taxa Média de Latência Excessiva para uma determinada subscrição do Microsoft Azure num Período Aplicável.</w:t>
      </w:r>
    </w:p>
    <w:p w14:paraId="6FE7280E" w14:textId="44C12839" w:rsidR="004005AF" w:rsidRDefault="004005AF" w:rsidP="00F01ED6">
      <w:pPr>
        <w:pStyle w:val="ProductList-Body"/>
        <w:ind w:left="360"/>
      </w:pPr>
      <w:r>
        <w:t>A Percentagem de Concretização de Latência de P99 é representada pela seguinte fórmula:</w:t>
      </w:r>
    </w:p>
    <w:p w14:paraId="11F89454" w14:textId="5E7C2906" w:rsidR="004005AF" w:rsidRPr="00EF7CF9" w:rsidRDefault="008E7C1C" w:rsidP="009F16F1">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Taxa de Latência Excessiva Média</m:t>
          </m:r>
        </m:oMath>
      </m:oMathPara>
    </w:p>
    <w:p w14:paraId="43C502A2"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F01ED6">
            <w:pPr>
              <w:pStyle w:val="ProductList-OfferingBody"/>
              <w:jc w:val="center"/>
              <w:rPr>
                <w:color w:val="FFFFFF" w:themeColor="background1"/>
              </w:rPr>
            </w:pPr>
            <w:r>
              <w:rPr>
                <w:color w:val="FFFFFF" w:themeColor="background1"/>
              </w:rPr>
              <w:t>Percentagem de Concretização de Latência de P99</w:t>
            </w:r>
          </w:p>
        </w:tc>
        <w:tc>
          <w:tcPr>
            <w:tcW w:w="5220" w:type="dxa"/>
            <w:shd w:val="clear" w:color="auto" w:fill="0072C6"/>
          </w:tcPr>
          <w:p w14:paraId="1F5BD7AF"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B90B2C9" w14:textId="77777777" w:rsidTr="000F31B4">
        <w:tc>
          <w:tcPr>
            <w:tcW w:w="5220" w:type="dxa"/>
          </w:tcPr>
          <w:p w14:paraId="175F9391" w14:textId="77777777" w:rsidR="004005AF" w:rsidRPr="00EF7CF9" w:rsidRDefault="004005AF" w:rsidP="00F01ED6">
            <w:pPr>
              <w:pStyle w:val="ProductList-OfferingBody"/>
              <w:jc w:val="center"/>
            </w:pPr>
            <w:r>
              <w:t>&lt; 99,99%</w:t>
            </w:r>
          </w:p>
        </w:tc>
        <w:tc>
          <w:tcPr>
            <w:tcW w:w="5220" w:type="dxa"/>
          </w:tcPr>
          <w:p w14:paraId="48ACE317" w14:textId="77777777" w:rsidR="004005AF" w:rsidRPr="00EF7CF9" w:rsidRDefault="004005AF" w:rsidP="00F01ED6">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F01ED6">
            <w:pPr>
              <w:pStyle w:val="ProductList-OfferingBody"/>
              <w:jc w:val="center"/>
            </w:pPr>
            <w:r>
              <w:t>&lt; 99%</w:t>
            </w:r>
          </w:p>
        </w:tc>
        <w:tc>
          <w:tcPr>
            <w:tcW w:w="5220" w:type="dxa"/>
          </w:tcPr>
          <w:p w14:paraId="30AB2314" w14:textId="77777777" w:rsidR="004005AF" w:rsidRPr="00EF7CF9" w:rsidRDefault="004005AF" w:rsidP="00F01ED6">
            <w:pPr>
              <w:pStyle w:val="ProductList-OfferingBody"/>
              <w:jc w:val="center"/>
            </w:pPr>
            <w:r>
              <w:t>25%</w:t>
            </w:r>
          </w:p>
        </w:tc>
      </w:tr>
    </w:tbl>
    <w:bookmarkStart w:id="190" w:name="_Toc457821546"/>
    <w:bookmarkStart w:id="191" w:name="_Toc52348948"/>
    <w:bookmarkStart w:id="192" w:name="_Toc513395510"/>
    <w:bookmarkStart w:id="193" w:name="_Toc52348927"/>
    <w:bookmarkStart w:id="194" w:name="_Hlk513540106"/>
    <w:p w14:paraId="5E3914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772543A" w14:textId="77777777" w:rsidR="00AA02E4" w:rsidRPr="00EF7CF9" w:rsidRDefault="00AA02E4" w:rsidP="00F01ED6">
      <w:pPr>
        <w:pStyle w:val="ProductList-Offering2Heading"/>
        <w:tabs>
          <w:tab w:val="clear" w:pos="360"/>
          <w:tab w:val="clear" w:pos="720"/>
          <w:tab w:val="clear" w:pos="1080"/>
        </w:tabs>
        <w:outlineLvl w:val="2"/>
      </w:pPr>
      <w:bookmarkStart w:id="195" w:name="_Toc214456792"/>
      <w:r>
        <w:t>Catálogo de Dados</w:t>
      </w:r>
      <w:bookmarkEnd w:id="190"/>
      <w:bookmarkEnd w:id="191"/>
      <w:bookmarkEnd w:id="195"/>
    </w:p>
    <w:p w14:paraId="581628D5"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65296591" w14:textId="651ADE44" w:rsidR="00AA02E4" w:rsidRPr="00EF7CF9" w:rsidRDefault="00380305" w:rsidP="00F01ED6">
      <w:pPr>
        <w:pStyle w:val="ProductList-Body"/>
      </w:pPr>
      <w:r>
        <w:t>“</w:t>
      </w:r>
      <w:r w:rsidR="00AA02E4">
        <w:rPr>
          <w:b/>
          <w:color w:val="00188F"/>
        </w:rPr>
        <w:t>Minutos de Implementação</w:t>
      </w:r>
      <w:r>
        <w:t>”</w:t>
      </w:r>
      <w:r w:rsidR="00AA02E4">
        <w:t xml:space="preserve"> designa o número total de minutos para os quais foi adquirido um Catálogo de Dados durante um Período Aplicável.</w:t>
      </w:r>
    </w:p>
    <w:p w14:paraId="002A64FD" w14:textId="21FEE523" w:rsidR="00AA02E4" w:rsidRPr="00EF7CF9" w:rsidRDefault="00380305" w:rsidP="00F01ED6">
      <w:pPr>
        <w:pStyle w:val="ProductList-Body"/>
      </w:pPr>
      <w:r>
        <w:t>“</w:t>
      </w:r>
      <w:r w:rsidR="00AA02E4">
        <w:rPr>
          <w:b/>
          <w:color w:val="00188F"/>
        </w:rPr>
        <w:t>Entradas</w:t>
      </w:r>
      <w:r>
        <w:t>”</w:t>
      </w:r>
      <w:r w:rsidR="00AA02E4">
        <w:t xml:space="preserve"> designa qualquer registo de objeto de catálogo no Catálogo de Dados (como uma tabela, vista, medição, cluster ou relatório).</w:t>
      </w:r>
    </w:p>
    <w:p w14:paraId="7570F44E" w14:textId="38193A1F" w:rsidR="00AA02E4" w:rsidRPr="00EF7CF9" w:rsidRDefault="00380305" w:rsidP="00F01ED6">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designa a soma de todos os Minutos de Implementação para o Catálogo de Dados associado a uma determinada subscrição do Microsoft Azure durante um Período Aplicável.</w:t>
      </w:r>
      <w:r w:rsidR="00AA02E4">
        <w:rPr>
          <w:rFonts w:cs="Segoe UI"/>
          <w:b/>
          <w:bCs/>
          <w:color w:val="000000" w:themeColor="text1"/>
        </w:rPr>
        <w:t xml:space="preserve"> </w:t>
      </w:r>
    </w:p>
    <w:p w14:paraId="09594F99" w14:textId="77777777" w:rsidR="00AA02E4" w:rsidRPr="00B44CF9" w:rsidRDefault="00AA02E4" w:rsidP="00F01ED6">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Período de Indisponibilidade</w:t>
      </w:r>
      <w:r w:rsidRPr="00473DD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424F5ACD" w14:textId="6CCCDCAB"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E1ED9D0" w14:textId="22BC872E" w:rsidR="00AA02E4" w:rsidRPr="00EF7CF9" w:rsidRDefault="00000000" w:rsidP="009F16F1">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096CA38" w14:textId="77777777" w:rsidR="00AA02E4" w:rsidRPr="00EF7CF9" w:rsidRDefault="00AA02E4" w:rsidP="007D131F">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5F3BA5C"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277097">
        <w:tc>
          <w:tcPr>
            <w:tcW w:w="5400" w:type="dxa"/>
          </w:tcPr>
          <w:p w14:paraId="1E0935F5" w14:textId="77777777" w:rsidR="00AA02E4" w:rsidRPr="00EF7CF9" w:rsidRDefault="00AA02E4" w:rsidP="00F01ED6">
            <w:pPr>
              <w:pStyle w:val="ProductList-OfferingBody"/>
              <w:jc w:val="center"/>
            </w:pPr>
            <w:r>
              <w:t>&lt; 99,9%</w:t>
            </w:r>
          </w:p>
        </w:tc>
        <w:tc>
          <w:tcPr>
            <w:tcW w:w="5400" w:type="dxa"/>
          </w:tcPr>
          <w:p w14:paraId="6267C076" w14:textId="77777777" w:rsidR="00AA02E4" w:rsidRPr="00EF7CF9" w:rsidRDefault="00AA02E4" w:rsidP="00F01ED6">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7D131F">
            <w:pPr>
              <w:pStyle w:val="ProductList-OfferingBody"/>
              <w:jc w:val="center"/>
            </w:pPr>
            <w:r>
              <w:t>&lt; 99%</w:t>
            </w:r>
          </w:p>
        </w:tc>
        <w:tc>
          <w:tcPr>
            <w:tcW w:w="5400" w:type="dxa"/>
          </w:tcPr>
          <w:p w14:paraId="34756236" w14:textId="77777777" w:rsidR="00AA02E4" w:rsidRPr="00EF7CF9" w:rsidRDefault="00AA02E4" w:rsidP="007D131F">
            <w:pPr>
              <w:pStyle w:val="ProductList-OfferingBody"/>
              <w:jc w:val="center"/>
            </w:pPr>
            <w:r>
              <w:t>25%</w:t>
            </w:r>
          </w:p>
        </w:tc>
      </w:tr>
    </w:tbl>
    <w:bookmarkStart w:id="196" w:name="_Toc457821547"/>
    <w:bookmarkStart w:id="197" w:name="_Toc52348949"/>
    <w:p w14:paraId="2D203BB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C3E10A" w14:textId="585F3DE8" w:rsidR="00F240D4" w:rsidRDefault="00F240D4" w:rsidP="00F01ED6">
      <w:pPr>
        <w:pStyle w:val="ProductList-Offering2Heading"/>
        <w:keepNext/>
        <w:tabs>
          <w:tab w:val="clear" w:pos="360"/>
          <w:tab w:val="clear" w:pos="720"/>
          <w:tab w:val="clear" w:pos="1080"/>
        </w:tabs>
        <w:outlineLvl w:val="2"/>
      </w:pPr>
      <w:bookmarkStart w:id="198" w:name="_Toc214456793"/>
      <w:r>
        <w:t>Azure Data Explorer (Kusto)</w:t>
      </w:r>
      <w:bookmarkEnd w:id="198"/>
    </w:p>
    <w:p w14:paraId="279D2037" w14:textId="77777777" w:rsidR="00F240D4" w:rsidRPr="009F4F1B" w:rsidRDefault="00F240D4" w:rsidP="00F01ED6">
      <w:pPr>
        <w:pStyle w:val="ProductList-Body"/>
        <w:keepNext/>
        <w:rPr>
          <w:b/>
          <w:bCs/>
          <w:color w:val="00188F"/>
        </w:rPr>
      </w:pPr>
      <w:r>
        <w:rPr>
          <w:b/>
          <w:bCs/>
          <w:color w:val="00188F"/>
        </w:rPr>
        <w:t>Definições Adicionais</w:t>
      </w:r>
    </w:p>
    <w:p w14:paraId="51E9A0D1" w14:textId="267B40BE" w:rsidR="00F240D4" w:rsidRDefault="00380305" w:rsidP="00F01ED6">
      <w:pPr>
        <w:pStyle w:val="ProductList-Body"/>
      </w:pPr>
      <w:r>
        <w:t>“</w:t>
      </w:r>
      <w:r w:rsidR="00F240D4">
        <w:rPr>
          <w:b/>
          <w:color w:val="00188F"/>
        </w:rPr>
        <w:t>Cluster</w:t>
      </w:r>
      <w:r>
        <w:t>”</w:t>
      </w:r>
      <w:r w:rsidR="00F240D4">
        <w:t xml:space="preserve"> designa o grupo operado pelo Azure Data Explorer (ADX).</w:t>
      </w:r>
    </w:p>
    <w:p w14:paraId="3448EE53" w14:textId="05F823B5" w:rsidR="00F240D4" w:rsidRPr="009F4F1B" w:rsidRDefault="00EE6E3C" w:rsidP="00F01ED6">
      <w:pPr>
        <w:pStyle w:val="ProductList-Body"/>
        <w:rPr>
          <w:b/>
          <w:bCs/>
          <w:color w:val="00188F"/>
        </w:rPr>
      </w:pPr>
      <w:r>
        <w:rPr>
          <w:b/>
          <w:bCs/>
          <w:color w:val="00188F"/>
        </w:rPr>
        <w:t>Cálculo do Período de Disponibilidade e Níveis de Serviço para o Azure Data Explorer</w:t>
      </w:r>
    </w:p>
    <w:p w14:paraId="6CEBB473" w14:textId="073ADE37" w:rsidR="00F240D4" w:rsidRDefault="00380305" w:rsidP="00F01ED6">
      <w:pPr>
        <w:pStyle w:val="ProductList-Body"/>
      </w:pPr>
      <w:r>
        <w:t>“</w:t>
      </w:r>
      <w:r w:rsidR="00F240D4">
        <w:rPr>
          <w:b/>
          <w:color w:val="00188F"/>
        </w:rPr>
        <w:t>Máximo de Minutos Disponíveis</w:t>
      </w:r>
      <w:r>
        <w:t>”</w:t>
      </w:r>
      <w:r w:rsidR="00F240D4">
        <w:t xml:space="preserve"> designa o número total de minutos para um determinado Cluster implementado pelo Cliente numa determinada subscrição do Microsoft Azure durante um Período Aplicável.</w:t>
      </w:r>
    </w:p>
    <w:p w14:paraId="297698DD" w14:textId="554F0D03" w:rsidR="00F240D4" w:rsidRDefault="00380305" w:rsidP="00F01ED6">
      <w:pPr>
        <w:pStyle w:val="ProductList-Body"/>
      </w:pPr>
      <w:r>
        <w:lastRenderedPageBreak/>
        <w:t>“</w:t>
      </w:r>
      <w:r w:rsidR="00F240D4">
        <w:rPr>
          <w:b/>
          <w:color w:val="00188F"/>
        </w:rPr>
        <w:t>Período de Indisponibilidade</w:t>
      </w:r>
      <w:r>
        <w:t>”</w:t>
      </w:r>
      <w:r w:rsidR="00F240D4">
        <w:t xml:space="preserve"> designa o número total de minutos no Máximo de Minutos Disponíveis durante o qual um Cluster está indisponível. Um minuto é considerado indisponível para um determinado Cluster se todas as tentativas contínuas nesse minuto para estabelecer uma ligação com o Cluster devolverem um Código de Erro.</w:t>
      </w:r>
    </w:p>
    <w:p w14:paraId="4F382C56" w14:textId="56B0275E" w:rsidR="00F240D4" w:rsidRDefault="00F240D4" w:rsidP="00F01ED6">
      <w:pPr>
        <w:pStyle w:val="ProductList-Body"/>
      </w:pPr>
      <w:r>
        <w:t xml:space="preserve">A </w:t>
      </w:r>
      <w:r w:rsidR="00380305">
        <w:t>“</w:t>
      </w:r>
      <w:r>
        <w:rPr>
          <w:b/>
          <w:color w:val="00188F"/>
        </w:rPr>
        <w:t>Percentagem de Período de Disponibilidade</w:t>
      </w:r>
      <w:r w:rsidR="00380305">
        <w:t>”</w:t>
      </w:r>
      <w:r>
        <w:t xml:space="preserve"> para a Azure Data Explorer é calculada como o Máximo de Minutos Disponíveis menos o Período de Indisponibilidade a dividir pelo Máximo de Minutos Disponíveis.</w:t>
      </w:r>
    </w:p>
    <w:p w14:paraId="3909B03E" w14:textId="77777777" w:rsidR="00F240D4" w:rsidRDefault="00F240D4" w:rsidP="00F01ED6">
      <w:pPr>
        <w:pStyle w:val="ProductList-Body"/>
      </w:pPr>
    </w:p>
    <w:p w14:paraId="43BAFB90" w14:textId="1EC0DA1E" w:rsidR="00F240D4" w:rsidRDefault="00AC48A7" w:rsidP="00F01ED6">
      <w:pPr>
        <w:pStyle w:val="ProductList-Body"/>
      </w:pPr>
      <w:r>
        <w:t>A Percentagem de Período de Disponibilidade é representada pela seguinte fórmula:</w:t>
      </w:r>
    </w:p>
    <w:p w14:paraId="0F184916" w14:textId="5F3A28AC" w:rsidR="00F240D4" w:rsidRPr="006A1FA3" w:rsidRDefault="00000000" w:rsidP="00A12377">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x 100</m:t>
          </m:r>
        </m:oMath>
      </m:oMathPara>
    </w:p>
    <w:p w14:paraId="1170A23B" w14:textId="77777777" w:rsidR="00F240D4" w:rsidRPr="00EF7CF9" w:rsidRDefault="00F240D4" w:rsidP="00F01ED6">
      <w:pPr>
        <w:pStyle w:val="ProductList-Body"/>
      </w:pPr>
      <w:r>
        <w:rPr>
          <w:b/>
          <w:color w:val="00188F"/>
        </w:rPr>
        <w:t>Os seguintes Níveis de Serviço e Créditos de Serviço são aplicáveis à utilização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D4B6B">
        <w:trPr>
          <w:tblHeader/>
        </w:trPr>
        <w:tc>
          <w:tcPr>
            <w:tcW w:w="5400" w:type="dxa"/>
            <w:shd w:val="clear" w:color="auto" w:fill="0072C6"/>
          </w:tcPr>
          <w:p w14:paraId="290C6CDA" w14:textId="2CD84961" w:rsidR="00F240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B8C29B" w14:textId="77777777" w:rsidR="00F240D4" w:rsidRPr="00EF7CF9" w:rsidRDefault="00F240D4" w:rsidP="00F01ED6">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1D4B6B">
        <w:tc>
          <w:tcPr>
            <w:tcW w:w="5400" w:type="dxa"/>
            <w:tcBorders>
              <w:bottom w:val="single" w:sz="4" w:space="0" w:color="000000" w:themeColor="text1"/>
            </w:tcBorders>
          </w:tcPr>
          <w:p w14:paraId="47E571A5" w14:textId="77777777" w:rsidR="00F240D4" w:rsidRPr="00EF7CF9" w:rsidRDefault="00F240D4" w:rsidP="00F01ED6">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F01ED6">
            <w:pPr>
              <w:pStyle w:val="ProductList-OfferingBody"/>
              <w:jc w:val="center"/>
            </w:pPr>
            <w:r>
              <w:t>10%</w:t>
            </w:r>
          </w:p>
        </w:tc>
      </w:tr>
      <w:tr w:rsidR="00F240D4" w:rsidRPr="00B44CF9" w14:paraId="1672F988" w14:textId="77777777" w:rsidTr="001D4B6B">
        <w:tc>
          <w:tcPr>
            <w:tcW w:w="5400" w:type="dxa"/>
            <w:tcBorders>
              <w:bottom w:val="single" w:sz="4" w:space="0" w:color="auto"/>
            </w:tcBorders>
          </w:tcPr>
          <w:p w14:paraId="4FAAC35F" w14:textId="77777777" w:rsidR="00F240D4" w:rsidRPr="00EF7CF9" w:rsidRDefault="00F240D4" w:rsidP="00F01ED6">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F01ED6">
            <w:pPr>
              <w:pStyle w:val="ProductList-OfferingBody"/>
              <w:jc w:val="center"/>
            </w:pPr>
            <w:r>
              <w:t>25%</w:t>
            </w:r>
          </w:p>
        </w:tc>
      </w:tr>
    </w:tbl>
    <w:p w14:paraId="70539D6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F821EC9" w14:textId="77777777" w:rsidR="00AA02E4" w:rsidRPr="00EF7CF9" w:rsidRDefault="00AA02E4" w:rsidP="00F01ED6">
      <w:pPr>
        <w:pStyle w:val="ProductList-Offering2Heading"/>
        <w:tabs>
          <w:tab w:val="clear" w:pos="360"/>
          <w:tab w:val="clear" w:pos="720"/>
          <w:tab w:val="clear" w:pos="1080"/>
        </w:tabs>
        <w:outlineLvl w:val="2"/>
      </w:pPr>
      <w:bookmarkStart w:id="199" w:name="_Toc214456794"/>
      <w:r>
        <w:t>Azure Data Factory</w:t>
      </w:r>
      <w:bookmarkEnd w:id="199"/>
      <w:r>
        <w:t xml:space="preserve"> </w:t>
      </w:r>
      <w:bookmarkEnd w:id="196"/>
      <w:bookmarkEnd w:id="197"/>
    </w:p>
    <w:p w14:paraId="0DE3C563"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76181B90" w14:textId="5FD1A5C4" w:rsidR="00AA02E4" w:rsidRDefault="00380305" w:rsidP="00F01ED6">
      <w:pPr>
        <w:pStyle w:val="ProductList-Body"/>
      </w:pPr>
      <w:r>
        <w:t>“</w:t>
      </w:r>
      <w:r w:rsidR="00AA02E4">
        <w:rPr>
          <w:b/>
          <w:color w:val="00188F"/>
        </w:rPr>
        <w:t>Recursos</w:t>
      </w:r>
      <w:r>
        <w:t>”</w:t>
      </w:r>
      <w:r w:rsidR="00AA02E4">
        <w:t xml:space="preserve"> designa os runtimes de integração (incluindo o Azure, o SSIS e Runtimes de Integração Autoalojados), acionadores, pipelines, conjuntos de dados e serviços associados criados num Data Factory.</w:t>
      </w:r>
    </w:p>
    <w:p w14:paraId="15E650C9" w14:textId="631D11A1" w:rsidR="00AA02E4" w:rsidRPr="00EF7CF9" w:rsidRDefault="00380305" w:rsidP="00F01ED6">
      <w:pPr>
        <w:pStyle w:val="ProductList-Body"/>
      </w:pPr>
      <w:r>
        <w:t>“</w:t>
      </w:r>
      <w:r w:rsidR="00AA02E4">
        <w:rPr>
          <w:b/>
          <w:color w:val="00188F"/>
        </w:rPr>
        <w:t>Execução de Atividade</w:t>
      </w:r>
      <w:r>
        <w:t>”</w:t>
      </w:r>
      <w:r w:rsidR="00AA02E4">
        <w:rPr>
          <w:b/>
          <w:color w:val="00188F"/>
        </w:rPr>
        <w:t xml:space="preserve"> </w:t>
      </w:r>
      <w:r w:rsidR="00AA02E4">
        <w:t>designa a execução ou a tentativa de execução de uma atividade</w:t>
      </w:r>
    </w:p>
    <w:p w14:paraId="3FB5F108" w14:textId="77777777" w:rsidR="00AA02E4" w:rsidRDefault="00AA02E4" w:rsidP="00F01ED6">
      <w:pPr>
        <w:pStyle w:val="ProductList-Body"/>
      </w:pPr>
    </w:p>
    <w:p w14:paraId="41EC9AB8" w14:textId="0083EBE7" w:rsidR="00AA02E4" w:rsidRPr="00ED4527" w:rsidRDefault="00EE6E3C" w:rsidP="00F01ED6">
      <w:pPr>
        <w:pStyle w:val="ProductList-Body"/>
        <w:rPr>
          <w:b/>
          <w:bCs/>
          <w:color w:val="00188F"/>
        </w:rPr>
      </w:pPr>
      <w:r>
        <w:rPr>
          <w:b/>
          <w:bCs/>
          <w:color w:val="00188F"/>
        </w:rPr>
        <w:t>Cálculo do Período de Disponibilidade para Chamadas da API para o Data Factory</w:t>
      </w:r>
    </w:p>
    <w:p w14:paraId="2CF86461" w14:textId="77777777" w:rsidR="00AA02E4" w:rsidRDefault="00AA02E4" w:rsidP="00F01ED6">
      <w:pPr>
        <w:pStyle w:val="ProductList-Body"/>
        <w:rPr>
          <w:b/>
          <w:color w:val="00188F"/>
        </w:rPr>
      </w:pPr>
      <w:r>
        <w:rPr>
          <w:b/>
          <w:color w:val="00188F"/>
        </w:rPr>
        <w:t>Definições Adicionais</w:t>
      </w:r>
      <w:r w:rsidRPr="00473DD3">
        <w:rPr>
          <w:b/>
          <w:color w:val="00188F"/>
        </w:rPr>
        <w:t>:</w:t>
      </w:r>
    </w:p>
    <w:p w14:paraId="502FA76B" w14:textId="66A52991" w:rsidR="00AA02E4" w:rsidRDefault="00380305" w:rsidP="00F01ED6">
      <w:pPr>
        <w:pStyle w:val="ProductList-Body"/>
      </w:pPr>
      <w:r>
        <w:t>“</w:t>
      </w:r>
      <w:r w:rsidR="00AA02E4">
        <w:rPr>
          <w:b/>
          <w:color w:val="00188F"/>
        </w:rPr>
        <w:t>Total de Pedidos</w:t>
      </w:r>
      <w:r>
        <w:t>”</w:t>
      </w:r>
      <w:r w:rsidR="00AA02E4">
        <w:t xml:space="preserve"> designa o conjunto de todos os pedidos, que não Pedidos Excluídos, para executar operações relativamente a Recursos durante um Período Aplicável para uma determinada subscrição do Microsoft Azure.</w:t>
      </w:r>
    </w:p>
    <w:p w14:paraId="4F3686F7" w14:textId="2C7FE704" w:rsidR="00AA02E4" w:rsidRDefault="00380305" w:rsidP="00F01ED6">
      <w:pPr>
        <w:pStyle w:val="ProductList-Body"/>
      </w:pPr>
      <w:r>
        <w:t>“</w:t>
      </w:r>
      <w:r w:rsidR="00AA02E4">
        <w:rPr>
          <w:b/>
          <w:color w:val="00188F"/>
        </w:rPr>
        <w:t>Pedidos Excluídos</w:t>
      </w:r>
      <w:r>
        <w:t>”</w:t>
      </w:r>
      <w:r w:rsidR="00AA02E4">
        <w:t xml:space="preserve"> designa o conjunto de pedidos que resultam num código de estado HTTP 4xx, que não um código de estado HTTP 408. </w:t>
      </w:r>
    </w:p>
    <w:p w14:paraId="79E49C6D" w14:textId="7E9122E0" w:rsidR="00AA02E4" w:rsidRDefault="00380305" w:rsidP="00F01ED6">
      <w:pPr>
        <w:pStyle w:val="ProductList-Body"/>
      </w:pPr>
      <w:r>
        <w:t>“</w:t>
      </w:r>
      <w:r w:rsidR="00AA02E4">
        <w:rPr>
          <w:b/>
          <w:color w:val="00188F"/>
        </w:rPr>
        <w:t>Pedidos com Falha</w:t>
      </w:r>
      <w:r>
        <w:t>”</w:t>
      </w:r>
      <w:r w:rsidR="00AA02E4">
        <w:t xml:space="preserve"> designa o conjunto de todos os pedidos no Total de Pedidos que devolvem um Código de Erro ou um código de estado HTTP 408 ou que não devolvem um Código de Êxito num prazo de dois minutos. </w:t>
      </w:r>
    </w:p>
    <w:p w14:paraId="5251F49D" w14:textId="77777777" w:rsidR="00AA02E4" w:rsidRPr="00EF7CF9" w:rsidRDefault="00AA02E4" w:rsidP="00F01ED6">
      <w:pPr>
        <w:pStyle w:val="ProductList-Body"/>
      </w:pPr>
    </w:p>
    <w:p w14:paraId="2D21FDFB" w14:textId="23F0FFD3" w:rsidR="00AA02E4" w:rsidRDefault="00AA02E4" w:rsidP="00F01ED6">
      <w:pPr>
        <w:pStyle w:val="ProductList-Body"/>
      </w:pPr>
      <w:r>
        <w:t xml:space="preserve">A </w:t>
      </w:r>
      <w:r w:rsidR="00380305" w:rsidRPr="00380305">
        <w:t>“</w:t>
      </w:r>
      <w:r>
        <w:rPr>
          <w:b/>
          <w:color w:val="00188F"/>
        </w:rPr>
        <w:t>Percentagem de Período de Disponibilidade</w:t>
      </w:r>
      <w:r w:rsidR="00380305">
        <w:t>”</w:t>
      </w:r>
      <w:r>
        <w:t xml:space="preserve"> para as chamadas da API efetuadas para os Serviços Data Factory é calculada como o Total de Pedidos menos os Pedidos com Falha a dividir pelo Total de Pedidos num Período Aplicável para uma determinada subscrição do Microsoft Azure. </w:t>
      </w:r>
    </w:p>
    <w:p w14:paraId="0C1962F3" w14:textId="5EA7870E" w:rsidR="00AA02E4" w:rsidRPr="00EF7CF9" w:rsidRDefault="00AC48A7" w:rsidP="00F01ED6">
      <w:pPr>
        <w:pStyle w:val="ProductList-Body"/>
      </w:pPr>
      <w:r>
        <w:t>A Percentagem de Período de Disponibilidade é representada pela seguinte fórmula:</w:t>
      </w:r>
    </w:p>
    <w:p w14:paraId="44F5B2CF" w14:textId="77777777" w:rsidR="00AA02E4" w:rsidRPr="00EF7CF9" w:rsidRDefault="00AA02E4" w:rsidP="00F01ED6">
      <w:pPr>
        <w:pStyle w:val="ProductList-Body"/>
      </w:pPr>
    </w:p>
    <w:p w14:paraId="20D98153" w14:textId="54A37A13" w:rsidR="00AA02E4" w:rsidRPr="00EF7CF9" w:rsidRDefault="00E80B8A" w:rsidP="00F01ED6">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Pedidos-Pedidos com Falha)</m:t>
              </m:r>
            </m:num>
            <m:den>
              <m:r>
                <m:rPr>
                  <m:nor/>
                </m:rPr>
                <w:rPr>
                  <w:rFonts w:ascii="Cambria Math" w:hAnsi="Cambria Math" w:cs="Tahoma"/>
                  <w:i/>
                  <w:iCs/>
                  <w:color w:val="000000" w:themeColor="text1"/>
                  <w:sz w:val="18"/>
                  <w:szCs w:val="18"/>
                </w:rPr>
                <m:t>Total de Pedidos</m:t>
              </m:r>
            </m:den>
          </m:f>
        </m:oMath>
      </m:oMathPara>
    </w:p>
    <w:p w14:paraId="534303A0" w14:textId="77777777" w:rsidR="00AA02E4" w:rsidRPr="007C69E0" w:rsidRDefault="00AA02E4" w:rsidP="009759E2">
      <w:pPr>
        <w:pStyle w:val="ProductList-Body"/>
        <w:keepNext/>
        <w:keepLines/>
        <w:rPr>
          <w:b/>
          <w:bCs/>
          <w:color w:val="00008F"/>
        </w:rPr>
      </w:pPr>
      <w:r w:rsidRPr="007C69E0">
        <w:rPr>
          <w:b/>
          <w:bCs/>
          <w:color w:val="00008F"/>
        </w:rPr>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9759E2">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50673EA" w14:textId="77777777" w:rsidR="00AA02E4" w:rsidRPr="00EF7CF9" w:rsidRDefault="00AA02E4" w:rsidP="009759E2">
            <w:pPr>
              <w:pStyle w:val="ProductList-OfferingBody"/>
              <w:keepNext/>
              <w:keepLines/>
              <w:jc w:val="center"/>
              <w:rPr>
                <w:color w:val="FFFFFF" w:themeColor="background1"/>
              </w:rPr>
            </w:pPr>
            <w:r>
              <w:rPr>
                <w:color w:val="FFFFFF" w:themeColor="background1"/>
              </w:rPr>
              <w:t>Crédito de Serviço</w:t>
            </w:r>
          </w:p>
        </w:tc>
      </w:tr>
      <w:tr w:rsidR="00AA02E4" w:rsidRPr="00B44CF9" w14:paraId="18C3EE26" w14:textId="77777777" w:rsidTr="00277097">
        <w:tc>
          <w:tcPr>
            <w:tcW w:w="5400" w:type="dxa"/>
          </w:tcPr>
          <w:p w14:paraId="150A3FE7" w14:textId="77777777" w:rsidR="00AA02E4" w:rsidRPr="00EF7CF9" w:rsidRDefault="00AA02E4" w:rsidP="009759E2">
            <w:pPr>
              <w:pStyle w:val="ProductList-OfferingBody"/>
              <w:keepNext/>
              <w:keepLines/>
              <w:jc w:val="center"/>
            </w:pPr>
            <w:r>
              <w:t>&lt; 99,9%</w:t>
            </w:r>
          </w:p>
        </w:tc>
        <w:tc>
          <w:tcPr>
            <w:tcW w:w="5400" w:type="dxa"/>
          </w:tcPr>
          <w:p w14:paraId="45423A50" w14:textId="77777777" w:rsidR="00AA02E4" w:rsidRPr="00EF7CF9" w:rsidRDefault="00AA02E4" w:rsidP="009759E2">
            <w:pPr>
              <w:pStyle w:val="ProductList-OfferingBody"/>
              <w:keepNext/>
              <w:keepLines/>
              <w:jc w:val="center"/>
            </w:pPr>
            <w:r>
              <w:t>10%</w:t>
            </w:r>
          </w:p>
        </w:tc>
      </w:tr>
      <w:tr w:rsidR="00AA02E4" w:rsidRPr="00B44CF9" w14:paraId="11382E4F" w14:textId="77777777" w:rsidTr="00277097">
        <w:tc>
          <w:tcPr>
            <w:tcW w:w="5400" w:type="dxa"/>
          </w:tcPr>
          <w:p w14:paraId="2F93EE8A" w14:textId="77777777" w:rsidR="00AA02E4" w:rsidRPr="00EF7CF9" w:rsidRDefault="00AA02E4" w:rsidP="009759E2">
            <w:pPr>
              <w:pStyle w:val="ProductList-OfferingBody"/>
              <w:keepNext/>
              <w:keepLines/>
              <w:jc w:val="center"/>
            </w:pPr>
            <w:r>
              <w:t>&lt; 99%</w:t>
            </w:r>
          </w:p>
        </w:tc>
        <w:tc>
          <w:tcPr>
            <w:tcW w:w="5400" w:type="dxa"/>
          </w:tcPr>
          <w:p w14:paraId="5932E997" w14:textId="77777777" w:rsidR="00AA02E4" w:rsidRPr="00EF7CF9" w:rsidRDefault="00AA02E4" w:rsidP="009759E2">
            <w:pPr>
              <w:pStyle w:val="ProductList-OfferingBody"/>
              <w:keepNext/>
              <w:keepLines/>
              <w:jc w:val="center"/>
            </w:pPr>
            <w:r>
              <w:t>25%</w:t>
            </w:r>
          </w:p>
        </w:tc>
      </w:tr>
    </w:tbl>
    <w:p w14:paraId="7FE0019D" w14:textId="65672919" w:rsidR="00AA02E4" w:rsidRPr="00ED4527" w:rsidRDefault="00EE6E3C" w:rsidP="00F01ED6">
      <w:pPr>
        <w:pStyle w:val="ProductList-Body"/>
        <w:keepNext/>
        <w:spacing w:before="240"/>
        <w:rPr>
          <w:b/>
          <w:bCs/>
          <w:color w:val="00188F"/>
        </w:rPr>
      </w:pPr>
      <w:r>
        <w:rPr>
          <w:b/>
          <w:bCs/>
          <w:color w:val="00188F"/>
        </w:rPr>
        <w:t>Cálculo do Período de Disponibilidade para Execuções de Atividade do Data Factory</w:t>
      </w:r>
    </w:p>
    <w:p w14:paraId="4FAAD9F9" w14:textId="77777777" w:rsidR="00AA02E4" w:rsidRPr="00AA02E4" w:rsidRDefault="00AA02E4" w:rsidP="00F01ED6">
      <w:pPr>
        <w:pStyle w:val="ProductList-Body"/>
        <w:keepNext/>
        <w:rPr>
          <w:b/>
          <w:bCs/>
          <w:color w:val="00188F"/>
        </w:rPr>
      </w:pPr>
      <w:r>
        <w:rPr>
          <w:b/>
          <w:bCs/>
          <w:color w:val="00188F"/>
        </w:rPr>
        <w:t>Definições Adicionais:</w:t>
      </w:r>
    </w:p>
    <w:p w14:paraId="6878FBB3" w14:textId="3688E058" w:rsidR="00AA02E4" w:rsidRPr="00EF7CF9" w:rsidRDefault="00380305" w:rsidP="00F01ED6">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designa o número total de tentativas de Execuções de Atividade durante um Período Aplicável para uma determinada Subscrição do Microsoft Azure. </w:t>
      </w:r>
    </w:p>
    <w:p w14:paraId="045CDE7E" w14:textId="4DEEE46F" w:rsidR="00AA02E4" w:rsidRPr="00EF7CF9" w:rsidRDefault="00380305" w:rsidP="00F01ED6">
      <w:pPr>
        <w:pStyle w:val="ProductList-Body"/>
      </w:pPr>
      <w:r>
        <w:t>“</w:t>
      </w:r>
      <w:r w:rsidR="00AA02E4">
        <w:rPr>
          <w:b/>
          <w:color w:val="00188F"/>
        </w:rPr>
        <w:t>Execuções de Atividade em Atraso</w:t>
      </w:r>
      <w:r>
        <w:t>”</w:t>
      </w:r>
      <w:r w:rsidR="00AA02E4">
        <w:t xml:space="preserve"> designa o número total de tentativas de Execuções de Atividade em que a execução de uma atividade não é</w:t>
      </w:r>
      <w:r w:rsidR="00A46E68">
        <w:t> </w:t>
      </w:r>
      <w:r w:rsidR="00AA02E4">
        <w:t>iniciada no prazo de quatro (4) minutos após a hora de execução agendada, tendo sido cumpridas todas as dependências que constituem pré-requisitos para a execução.</w:t>
      </w:r>
    </w:p>
    <w:p w14:paraId="45528E5A" w14:textId="0EFCEA8A" w:rsidR="00AA02E4" w:rsidRPr="00ED4527" w:rsidRDefault="00AA02E4" w:rsidP="00F01ED6">
      <w:pPr>
        <w:pStyle w:val="ProductList-Body"/>
        <w:rPr>
          <w:color w:val="000000" w:themeColor="text1"/>
        </w:rPr>
      </w:pPr>
      <w:r>
        <w:t xml:space="preserve">A </w:t>
      </w:r>
      <w:r w:rsidR="00380305" w:rsidRPr="00380305">
        <w:t>“</w:t>
      </w:r>
      <w:r>
        <w:rPr>
          <w:b/>
          <w:color w:val="00188F"/>
        </w:rPr>
        <w:t>Percentagem de Período de Disponibilidade</w:t>
      </w:r>
      <w:r w:rsidR="00380305">
        <w:t>”</w:t>
      </w:r>
      <w:r>
        <w:t xml:space="preserve"> </w:t>
      </w:r>
      <w:r>
        <w:rPr>
          <w:color w:val="000000" w:themeColor="text1"/>
        </w:rPr>
        <w:t>para o Serviço Data Factory é calculada como o Total de Execuções de Atividade menos as Execuções de Atividade em Atraso a dividir pelo Total de Execuções de Atividade num Período Aplicável para uma determinada subscrição do Microsoft Azure.</w:t>
      </w:r>
    </w:p>
    <w:p w14:paraId="0B2BEE09" w14:textId="0B818B97" w:rsidR="00AA02E4" w:rsidRPr="00EF7CF9" w:rsidRDefault="00AA02E4" w:rsidP="00F01ED6">
      <w:pPr>
        <w:pStyle w:val="ProductList-Body"/>
      </w:pPr>
      <w:r>
        <w:t>A Percentagem de Período de Disponibilidade é calculada através da seguinte fórmula:</w:t>
      </w:r>
    </w:p>
    <w:p w14:paraId="4DA9AF41" w14:textId="144F6187" w:rsidR="00AA02E4" w:rsidRPr="00EF7CF9" w:rsidRDefault="00000000" w:rsidP="00A536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Atividade-Execuções de Atividade em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F01ED6">
      <w:pPr>
        <w:pStyle w:val="ProductList-Body"/>
      </w:pPr>
      <w:r>
        <w:rPr>
          <w:b/>
          <w:color w:val="00188F"/>
        </w:rPr>
        <w:lastRenderedPageBreak/>
        <w:t>Os seguintes Níveis de Serviço e Créditos de Serviço são aplicáveis às Execuções de Atividade do Cliente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CD5C5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F01ED6">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F01ED6">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F01ED6">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F01ED6">
            <w:pPr>
              <w:pStyle w:val="ProductList-OfferingBody"/>
              <w:jc w:val="center"/>
            </w:pPr>
            <w:r>
              <w:t>25%</w:t>
            </w:r>
          </w:p>
        </w:tc>
      </w:tr>
    </w:tbl>
    <w:bookmarkStart w:id="200" w:name="_Toc52348951"/>
    <w:bookmarkStart w:id="201" w:name="_Toc457821549"/>
    <w:p w14:paraId="1C90DD7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53F84F8" w14:textId="2A9E744D" w:rsidR="00AA02E4" w:rsidRPr="00EF7CF9" w:rsidRDefault="00AA02E4" w:rsidP="00F01ED6">
      <w:pPr>
        <w:pStyle w:val="ProductList-Offering2Heading"/>
        <w:keepNext/>
        <w:tabs>
          <w:tab w:val="clear" w:pos="360"/>
          <w:tab w:val="clear" w:pos="720"/>
          <w:tab w:val="clear" w:pos="1080"/>
        </w:tabs>
        <w:outlineLvl w:val="2"/>
      </w:pPr>
      <w:bookmarkStart w:id="202" w:name="_Toc214456795"/>
      <w:r>
        <w:t>Data Lake Analytics</w:t>
      </w:r>
      <w:bookmarkEnd w:id="200"/>
      <w:bookmarkEnd w:id="202"/>
    </w:p>
    <w:p w14:paraId="50DCF9CE" w14:textId="77777777" w:rsidR="00AA02E4" w:rsidRPr="00EF7CF9" w:rsidRDefault="00AA02E4" w:rsidP="00F01ED6">
      <w:pPr>
        <w:pStyle w:val="ProductList-Body"/>
        <w:keepNext/>
        <w:rPr>
          <w:b/>
          <w:color w:val="00188F"/>
        </w:rPr>
      </w:pPr>
      <w:r>
        <w:rPr>
          <w:b/>
          <w:color w:val="00188F"/>
        </w:rPr>
        <w:t>Definições Adicionais</w:t>
      </w:r>
      <w:r w:rsidRPr="00473DD3">
        <w:rPr>
          <w:b/>
          <w:color w:val="00188F"/>
        </w:rPr>
        <w:t>:</w:t>
      </w:r>
    </w:p>
    <w:p w14:paraId="48683A43" w14:textId="37F6C0C4" w:rsidR="00AA02E4" w:rsidRPr="00EF7CF9" w:rsidRDefault="00380305" w:rsidP="00F01ED6">
      <w:pPr>
        <w:pStyle w:val="ProductList-Body"/>
      </w:pPr>
      <w:r>
        <w:t>“</w:t>
      </w:r>
      <w:r w:rsidR="00AA02E4">
        <w:rPr>
          <w:b/>
          <w:color w:val="00188F"/>
        </w:rPr>
        <w:t>Total de Operações</w:t>
      </w:r>
      <w:r>
        <w:t>”</w:t>
      </w:r>
      <w:r w:rsidR="00AA02E4">
        <w:t xml:space="preserve"> designa o número total de operações autenticadas tentadas num intervalo de uma hora em todas as contas do Data Lake Analytics numa determinada subscrição do Azure durante um Período Aplicável. </w:t>
      </w:r>
    </w:p>
    <w:p w14:paraId="619001CB" w14:textId="591440FF" w:rsidR="00AA02E4" w:rsidRPr="00B32E8E" w:rsidRDefault="00380305" w:rsidP="00F01ED6">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designa o conjunto de todas as operações no Total de Operações que devolvem um Código de Erro ou uma falha em devolver um Código de Êxito num prazo de 5 minutos, para criação e eliminação da conta, e 25 segundos para todas as outras operações com 2 segundos adicionais por MB para as operações com payload</w:t>
      </w:r>
      <w:r w:rsidR="00AA02E4">
        <w:rPr>
          <w:rFonts w:ascii="Calibri" w:eastAsia="Calibri" w:hAnsi="Calibri" w:cs="Calibri"/>
          <w:sz w:val="18"/>
          <w:szCs w:val="18"/>
        </w:rPr>
        <w:t>.</w:t>
      </w:r>
    </w:p>
    <w:p w14:paraId="6CA1A056" w14:textId="285E3E40" w:rsidR="00AA02E4" w:rsidRPr="00EF7CF9" w:rsidRDefault="00380305" w:rsidP="00F01ED6">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designa o número total de Operações com Falha a dividir pelo Total de Operações durante um determinado intervalo de hora. Se</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num intervalo de uma hora for zero, a Taxa de Erros para esse intervalo é 0%.</w:t>
      </w:r>
    </w:p>
    <w:p w14:paraId="456F89ED" w14:textId="793C232D"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F9B2817" w14:textId="6D867D5F"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E5DCAAE" w14:textId="77777777" w:rsidR="00AA02E4" w:rsidRPr="00EF7CF9" w:rsidRDefault="00AA02E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888A05"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277097">
        <w:tc>
          <w:tcPr>
            <w:tcW w:w="5400" w:type="dxa"/>
          </w:tcPr>
          <w:p w14:paraId="50C3D1A8" w14:textId="77777777" w:rsidR="00AA02E4" w:rsidRPr="00EF7CF9" w:rsidRDefault="00AA02E4" w:rsidP="00F01ED6">
            <w:pPr>
              <w:pStyle w:val="ProductList-OfferingBody"/>
              <w:jc w:val="center"/>
            </w:pPr>
            <w:r>
              <w:t>&lt; 99,9%</w:t>
            </w:r>
          </w:p>
        </w:tc>
        <w:tc>
          <w:tcPr>
            <w:tcW w:w="5400" w:type="dxa"/>
          </w:tcPr>
          <w:p w14:paraId="034EEE2E" w14:textId="77777777" w:rsidR="00AA02E4" w:rsidRPr="00EF7CF9" w:rsidRDefault="00AA02E4" w:rsidP="00F01ED6">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F01ED6">
            <w:pPr>
              <w:pStyle w:val="ProductList-OfferingBody"/>
              <w:jc w:val="center"/>
            </w:pPr>
            <w:r>
              <w:t>&lt; 99%</w:t>
            </w:r>
          </w:p>
        </w:tc>
        <w:tc>
          <w:tcPr>
            <w:tcW w:w="5400" w:type="dxa"/>
          </w:tcPr>
          <w:p w14:paraId="0F637E8B" w14:textId="77777777" w:rsidR="00AA02E4" w:rsidRPr="00EF7CF9" w:rsidRDefault="00AA02E4" w:rsidP="00F01ED6">
            <w:pPr>
              <w:pStyle w:val="ProductList-OfferingBody"/>
              <w:jc w:val="center"/>
            </w:pPr>
            <w:r>
              <w:t>25%</w:t>
            </w:r>
          </w:p>
        </w:tc>
      </w:tr>
    </w:tbl>
    <w:bookmarkStart w:id="203" w:name="_Toc52348952"/>
    <w:p w14:paraId="1CCDDCC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C2039DF" w14:textId="6B849773" w:rsidR="00AA02E4" w:rsidRPr="00EF7CF9" w:rsidRDefault="00AA02E4" w:rsidP="00F01ED6">
      <w:pPr>
        <w:pStyle w:val="ProductList-Offering2Heading"/>
        <w:tabs>
          <w:tab w:val="clear" w:pos="360"/>
          <w:tab w:val="clear" w:pos="720"/>
          <w:tab w:val="clear" w:pos="1080"/>
        </w:tabs>
        <w:outlineLvl w:val="2"/>
      </w:pPr>
      <w:bookmarkStart w:id="204" w:name="_Toc214456796"/>
      <w:r>
        <w:t>Data Lake Storage Gen1</w:t>
      </w:r>
      <w:bookmarkEnd w:id="203"/>
      <w:bookmarkEnd w:id="204"/>
    </w:p>
    <w:p w14:paraId="7B5916C5" w14:textId="77777777" w:rsidR="00AA02E4" w:rsidRPr="00E80B8A" w:rsidRDefault="00AA02E4" w:rsidP="00F01ED6">
      <w:pPr>
        <w:pStyle w:val="ProductList-Body"/>
        <w:rPr>
          <w:rFonts w:cstheme="minorHAnsi"/>
          <w:b/>
          <w:color w:val="00188F"/>
          <w:szCs w:val="18"/>
        </w:rPr>
      </w:pPr>
      <w:r w:rsidRPr="00E80B8A">
        <w:rPr>
          <w:rFonts w:cstheme="minorHAnsi"/>
          <w:b/>
          <w:color w:val="00188F"/>
          <w:szCs w:val="18"/>
        </w:rPr>
        <w:t>Definições Adicionais</w:t>
      </w:r>
      <w:r w:rsidRPr="00473DD3">
        <w:rPr>
          <w:rFonts w:cstheme="minorHAnsi"/>
          <w:b/>
          <w:color w:val="00188F"/>
          <w:szCs w:val="18"/>
        </w:rPr>
        <w:t>:</w:t>
      </w:r>
    </w:p>
    <w:p w14:paraId="23CB8006" w14:textId="04CEAC46" w:rsidR="00AA02E4" w:rsidRPr="00E80B8A" w:rsidRDefault="00380305" w:rsidP="00F01ED6">
      <w:pPr>
        <w:pStyle w:val="ProductList-Body"/>
        <w:rPr>
          <w:rFonts w:cstheme="minorHAnsi"/>
          <w:szCs w:val="18"/>
        </w:rPr>
      </w:pPr>
      <w:r>
        <w:rPr>
          <w:rFonts w:cstheme="minorHAnsi"/>
          <w:szCs w:val="18"/>
        </w:rPr>
        <w:t>“</w:t>
      </w:r>
      <w:r w:rsidR="00AA02E4" w:rsidRPr="00E80B8A">
        <w:rPr>
          <w:rFonts w:cstheme="minorHAnsi"/>
          <w:b/>
          <w:color w:val="00188F"/>
          <w:szCs w:val="18"/>
        </w:rPr>
        <w:t>Total de Operações</w:t>
      </w:r>
      <w:r>
        <w:rPr>
          <w:rFonts w:cstheme="minorHAnsi"/>
          <w:szCs w:val="18"/>
        </w:rPr>
        <w:t>”</w:t>
      </w:r>
      <w:r w:rsidR="00AA02E4" w:rsidRPr="00E80B8A">
        <w:rPr>
          <w:rFonts w:cstheme="minorHAnsi"/>
          <w:szCs w:val="18"/>
        </w:rPr>
        <w:t xml:space="preserve"> designa o número total de operações autenticadas tentadas num intervalo de uma hora em todas as contas do Data Lake Store numa determinada subscrição do Azure durante um Período Aplicável.</w:t>
      </w:r>
    </w:p>
    <w:p w14:paraId="50FB34C7" w14:textId="25CD4B55" w:rsidR="00AA02E4" w:rsidRPr="00E80B8A" w:rsidRDefault="00380305" w:rsidP="00F01ED6">
      <w:pPr>
        <w:spacing w:after="0" w:line="240" w:lineRule="auto"/>
        <w:rPr>
          <w:rFonts w:eastAsia="Calibri" w:cstheme="minorHAnsi"/>
          <w:sz w:val="18"/>
          <w:szCs w:val="18"/>
        </w:rPr>
      </w:pPr>
      <w:r>
        <w:rPr>
          <w:rFonts w:cstheme="minorHAnsi"/>
          <w:sz w:val="18"/>
          <w:szCs w:val="18"/>
        </w:rPr>
        <w:t>“</w:t>
      </w:r>
      <w:r w:rsidR="00AA02E4" w:rsidRPr="00E80B8A">
        <w:rPr>
          <w:rFonts w:cstheme="minorHAnsi"/>
          <w:b/>
          <w:color w:val="00188F"/>
          <w:sz w:val="18"/>
          <w:szCs w:val="18"/>
        </w:rPr>
        <w:t>Opções com Falha</w:t>
      </w:r>
      <w:r>
        <w:rPr>
          <w:rFonts w:cstheme="minorHAnsi"/>
          <w:sz w:val="18"/>
          <w:szCs w:val="18"/>
        </w:rPr>
        <w:t>”</w:t>
      </w:r>
      <w:r w:rsidR="00AA02E4" w:rsidRPr="00E80B8A">
        <w:rPr>
          <w:rFonts w:cstheme="minorHAnsi"/>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w:t>
      </w:r>
      <w:r w:rsidR="00C55C00">
        <w:rPr>
          <w:rFonts w:cstheme="minorHAnsi"/>
          <w:sz w:val="18"/>
          <w:szCs w:val="18"/>
        </w:rPr>
        <w:t> </w:t>
      </w:r>
      <w:r w:rsidR="00AA02E4" w:rsidRPr="00E80B8A">
        <w:rPr>
          <w:rFonts w:cstheme="minorHAnsi"/>
          <w:sz w:val="18"/>
          <w:szCs w:val="18"/>
        </w:rPr>
        <w:t>segundos por MB para as operações de transferência de dados e 2 segundos para todas as outras operações.</w:t>
      </w:r>
    </w:p>
    <w:p w14:paraId="5024A4E3" w14:textId="7FE713D1" w:rsidR="00AA02E4" w:rsidRPr="00E80B8A" w:rsidRDefault="00380305" w:rsidP="00F01ED6">
      <w:pPr>
        <w:pStyle w:val="NormalWeb"/>
        <w:shd w:val="clear" w:color="auto" w:fill="FFFFFF"/>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sidR="00AA02E4" w:rsidRPr="00E80B8A">
        <w:rPr>
          <w:rFonts w:asciiTheme="minorHAnsi" w:eastAsiaTheme="minorHAnsi" w:hAnsiTheme="minorHAnsi" w:cstheme="minorHAnsi"/>
          <w:b/>
          <w:color w:val="00188F"/>
          <w:sz w:val="18"/>
          <w:szCs w:val="18"/>
        </w:rPr>
        <w:t>Taxa de Erros</w:t>
      </w:r>
      <w:r>
        <w:rPr>
          <w:rFonts w:asciiTheme="minorHAnsi" w:eastAsiaTheme="minorHAnsi" w:hAnsiTheme="minorHAnsi" w:cstheme="minorHAnsi"/>
          <w:sz w:val="18"/>
          <w:szCs w:val="18"/>
        </w:rPr>
        <w:t>”</w:t>
      </w:r>
      <w:r w:rsidR="00AA02E4" w:rsidRPr="00E80B8A">
        <w:rPr>
          <w:rFonts w:asciiTheme="minorHAnsi" w:hAnsiTheme="minorHAnsi" w:cstheme="minorHAnsi"/>
          <w:sz w:val="18"/>
          <w:szCs w:val="18"/>
        </w:rPr>
        <w:t xml:space="preserve"> </w:t>
      </w:r>
      <w:r w:rsidR="00AA02E4" w:rsidRPr="00E80B8A">
        <w:rPr>
          <w:rFonts w:asciiTheme="minorHAnsi" w:eastAsiaTheme="minorHAnsi" w:hAnsiTheme="minorHAnsi" w:cstheme="minorHAnsi"/>
          <w:sz w:val="18"/>
          <w:szCs w:val="18"/>
        </w:rPr>
        <w:t>designa o número total de Operações com Falha a dividir pelo Total de Operações durante um determinado intervalo de hora. Se</w:t>
      </w:r>
      <w:r w:rsidR="005411BD">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o</w:t>
      </w:r>
      <w:r w:rsidR="00C55C00">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Total de Operações num intervalo de uma hora for zero, a Taxa de Erros para esse intervalo é 0%.</w:t>
      </w:r>
    </w:p>
    <w:p w14:paraId="28D67634" w14:textId="21AFE98F" w:rsidR="00AA02E4" w:rsidRPr="00E80B8A" w:rsidRDefault="00AA02E4" w:rsidP="00F01ED6">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E80B8A">
        <w:rPr>
          <w:rFonts w:asciiTheme="minorHAnsi" w:hAnsiTheme="minorHAnsi" w:cstheme="minorHAnsi"/>
          <w:sz w:val="18"/>
          <w:szCs w:val="18"/>
        </w:rPr>
        <w:t xml:space="preserve">A </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b/>
          <w:bCs/>
          <w:color w:val="00188F"/>
          <w:sz w:val="18"/>
          <w:szCs w:val="18"/>
        </w:rPr>
        <w:t>Taxa Média de Erros</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color w:val="000000" w:themeColor="text1"/>
          <w:sz w:val="18"/>
          <w:szCs w:val="18"/>
        </w:rPr>
        <w:t xml:space="preserve"> para um Período Aplicável designa a soma das Taxas de Erros para cada hora no Período Aplicável a dividir pelo número total de horas no Período Aplicável.</w:t>
      </w:r>
    </w:p>
    <w:p w14:paraId="6D17646E" w14:textId="27E023EA" w:rsidR="00AA02E4" w:rsidRPr="00E80B8A" w:rsidRDefault="00AA02E4" w:rsidP="00F01ED6">
      <w:pPr>
        <w:pStyle w:val="ProductList-Body"/>
        <w:rPr>
          <w:rFonts w:cstheme="minorHAnsi"/>
          <w:szCs w:val="18"/>
        </w:rPr>
      </w:pPr>
      <w:r w:rsidRPr="00E80B8A">
        <w:rPr>
          <w:rFonts w:cstheme="minorHAnsi"/>
          <w:szCs w:val="18"/>
        </w:rPr>
        <w:t xml:space="preserve">A </w:t>
      </w:r>
      <w:r w:rsidR="00380305" w:rsidRPr="00380305">
        <w:t>“</w:t>
      </w:r>
      <w:r w:rsidRPr="00E80B8A">
        <w:rPr>
          <w:rFonts w:cstheme="minorHAnsi"/>
          <w:b/>
          <w:color w:val="00188F"/>
          <w:szCs w:val="18"/>
        </w:rPr>
        <w:t>Percentagem de Período de Disponibilidade</w:t>
      </w:r>
      <w:r w:rsidR="00380305" w:rsidRPr="00380305">
        <w:t>”</w:t>
      </w:r>
      <w:r w:rsidRPr="00E80B8A">
        <w:rPr>
          <w:rFonts w:cstheme="minorHAnsi"/>
          <w:szCs w:val="18"/>
        </w:rPr>
        <w:t xml:space="preserve"> é calculada ao subtrair de 100% da Taxa Média de Erros para uma determinada subscrição do Microsoft Azure num Período Aplicável. </w:t>
      </w:r>
    </w:p>
    <w:p w14:paraId="3574B1AB" w14:textId="44DF7591" w:rsidR="00AA02E4" w:rsidRPr="00E80B8A" w:rsidRDefault="00AA02E4" w:rsidP="00C55C00">
      <w:pPr>
        <w:pStyle w:val="ProductList-Body"/>
        <w:keepNext/>
        <w:keepLines/>
        <w:rPr>
          <w:rFonts w:cstheme="minorHAnsi"/>
          <w:szCs w:val="18"/>
        </w:rPr>
      </w:pPr>
      <w:r w:rsidRPr="00E80B8A">
        <w:rPr>
          <w:rFonts w:cstheme="minorHAnsi"/>
          <w:szCs w:val="18"/>
        </w:rPr>
        <w:t>A Percentagem de Período de Disponibilidade é calculada através da seguinte fórmula:</w:t>
      </w:r>
    </w:p>
    <w:p w14:paraId="5B9EA659" w14:textId="05FF46E5"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706099E4" w14:textId="77777777" w:rsidR="00AA02E4" w:rsidRPr="00EF7CF9" w:rsidRDefault="00AA02E4"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F5724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277097">
        <w:tc>
          <w:tcPr>
            <w:tcW w:w="5400" w:type="dxa"/>
          </w:tcPr>
          <w:p w14:paraId="41D64B26" w14:textId="77777777" w:rsidR="00AA02E4" w:rsidRPr="00EF7CF9" w:rsidRDefault="00AA02E4" w:rsidP="00F01ED6">
            <w:pPr>
              <w:pStyle w:val="ProductList-OfferingBody"/>
              <w:jc w:val="center"/>
            </w:pPr>
            <w:r>
              <w:t>&lt; 99,9%</w:t>
            </w:r>
          </w:p>
        </w:tc>
        <w:tc>
          <w:tcPr>
            <w:tcW w:w="5400" w:type="dxa"/>
          </w:tcPr>
          <w:p w14:paraId="550DC71F" w14:textId="77777777" w:rsidR="00AA02E4" w:rsidRPr="00EF7CF9" w:rsidRDefault="00AA02E4" w:rsidP="00F01ED6">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F01ED6">
            <w:pPr>
              <w:pStyle w:val="ProductList-OfferingBody"/>
              <w:jc w:val="center"/>
            </w:pPr>
            <w:r>
              <w:t>&lt; 99%</w:t>
            </w:r>
          </w:p>
        </w:tc>
        <w:tc>
          <w:tcPr>
            <w:tcW w:w="5400" w:type="dxa"/>
          </w:tcPr>
          <w:p w14:paraId="6CBF5F4A" w14:textId="77777777" w:rsidR="00AA02E4" w:rsidRPr="00EF7CF9" w:rsidRDefault="00AA02E4" w:rsidP="00F01ED6">
            <w:pPr>
              <w:pStyle w:val="ProductList-OfferingBody"/>
              <w:jc w:val="center"/>
            </w:pPr>
            <w:r>
              <w:t>25%</w:t>
            </w:r>
          </w:p>
        </w:tc>
      </w:tr>
    </w:tbl>
    <w:bookmarkEnd w:id="201"/>
    <w:p w14:paraId="0942994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AEE03E" w14:textId="77777777" w:rsidR="00C71243" w:rsidRPr="00C71243" w:rsidRDefault="00C71243" w:rsidP="00F01ED6">
      <w:pPr>
        <w:pStyle w:val="ProductList-Offering2Heading"/>
        <w:keepNext/>
        <w:tabs>
          <w:tab w:val="clear" w:pos="360"/>
          <w:tab w:val="clear" w:pos="720"/>
          <w:tab w:val="clear" w:pos="1080"/>
        </w:tabs>
        <w:outlineLvl w:val="2"/>
      </w:pPr>
      <w:bookmarkStart w:id="205" w:name="_Toc214456797"/>
      <w:r>
        <w:t>Azure Database for MariaDB</w:t>
      </w:r>
      <w:bookmarkEnd w:id="205"/>
    </w:p>
    <w:p w14:paraId="01DD9227" w14:textId="77777777" w:rsidR="00C71243" w:rsidRPr="00C71243" w:rsidRDefault="00C71243" w:rsidP="00F01ED6">
      <w:pPr>
        <w:pStyle w:val="ProductList-Body"/>
        <w:rPr>
          <w:b/>
          <w:bCs/>
          <w:color w:val="00188F"/>
        </w:rPr>
      </w:pPr>
      <w:r>
        <w:rPr>
          <w:b/>
          <w:bCs/>
          <w:color w:val="00188F"/>
        </w:rPr>
        <w:t>Definições Adicionais</w:t>
      </w:r>
    </w:p>
    <w:p w14:paraId="2C3C9DAA" w14:textId="65F85156" w:rsidR="00C71243" w:rsidRDefault="00380305" w:rsidP="00F01ED6">
      <w:pPr>
        <w:pStyle w:val="ProductList-Body"/>
      </w:pPr>
      <w:r>
        <w:t>“</w:t>
      </w:r>
      <w:r w:rsidR="00C71243">
        <w:rPr>
          <w:b/>
          <w:bCs/>
          <w:color w:val="00188F"/>
        </w:rPr>
        <w:t>Servidor</w:t>
      </w:r>
      <w:r>
        <w:t>”</w:t>
      </w:r>
      <w:r w:rsidR="00C71243">
        <w:t xml:space="preserve"> é uma determinada Base de Dados do Azure para o servidor MariaDB.</w:t>
      </w:r>
    </w:p>
    <w:p w14:paraId="426A35BB" w14:textId="243FC877" w:rsidR="00C71243" w:rsidRPr="00C71243" w:rsidRDefault="00EE6E3C" w:rsidP="009F16F1">
      <w:pPr>
        <w:pStyle w:val="ProductList-Body"/>
        <w:rPr>
          <w:b/>
          <w:bCs/>
          <w:color w:val="00188F"/>
        </w:rPr>
      </w:pPr>
      <w:r>
        <w:rPr>
          <w:b/>
          <w:bCs/>
          <w:color w:val="00188F"/>
        </w:rPr>
        <w:t>Cálculo do Período de Disponibilidade e Níveis de Serviço para Base de Dados do Azure para MariaDB</w:t>
      </w:r>
    </w:p>
    <w:p w14:paraId="7F9C0DD0" w14:textId="0EA27C0A" w:rsidR="00C71243" w:rsidRDefault="00380305" w:rsidP="00F01ED6">
      <w:pPr>
        <w:pStyle w:val="ProductList-Body"/>
      </w:pPr>
      <w:r>
        <w:t>“</w:t>
      </w:r>
      <w:r w:rsidR="00C71243">
        <w:rPr>
          <w:b/>
          <w:bCs/>
          <w:color w:val="00188F"/>
        </w:rPr>
        <w:t>Máximo de Minutos Disponíveis</w:t>
      </w:r>
      <w:r>
        <w:t>”</w:t>
      </w:r>
      <w:r w:rsidR="00C71243">
        <w:t xml:space="preserve"> designa o número total de minutos para um determinado Servidor implementado pelo Cliente numa determinada subscrição do Microsoft Azure durante um Período Aplicável.</w:t>
      </w:r>
    </w:p>
    <w:p w14:paraId="21BFD013" w14:textId="673B6C55" w:rsidR="00C71243" w:rsidRDefault="00380305" w:rsidP="00F01ED6">
      <w:pPr>
        <w:pStyle w:val="ProductList-Body"/>
      </w:pPr>
      <w:r>
        <w:lastRenderedPageBreak/>
        <w:t>“</w:t>
      </w:r>
      <w:r w:rsidR="00C71243">
        <w:rPr>
          <w:b/>
          <w:bCs/>
          <w:color w:val="00188F"/>
        </w:rPr>
        <w:t>Período de Indisponibilidade</w:t>
      </w:r>
      <w:r>
        <w:t>”</w:t>
      </w:r>
      <w:r w:rsidR="00C71243">
        <w:t xml:space="preserve"> designa o número total de minutos durante o Máximo de Minutos Disponíveis durante os quais um Servidor está</w:t>
      </w:r>
      <w:r w:rsidR="00C25207">
        <w:t> </w:t>
      </w:r>
      <w:r w:rsidR="00C71243">
        <w:t>indisponível. Um minuto é considerado indisponível se todas as tentativas contínuas por parte do Cliente para estabelecer uma ligação ao</w:t>
      </w:r>
      <w:r w:rsidR="00C25207">
        <w:t> </w:t>
      </w:r>
      <w:r w:rsidR="00C71243">
        <w:t>Servidor devolveram um Código de Erro.</w:t>
      </w:r>
    </w:p>
    <w:p w14:paraId="0D0C4BE2" w14:textId="2DB594F0" w:rsidR="00C71243" w:rsidRDefault="00C71243" w:rsidP="00F01ED6">
      <w:pPr>
        <w:pStyle w:val="ProductList-Body"/>
      </w:pPr>
      <w:r>
        <w:t xml:space="preserve">A </w:t>
      </w:r>
      <w:r w:rsidR="00380305">
        <w:t>“</w:t>
      </w:r>
      <w:r>
        <w:rPr>
          <w:b/>
          <w:bCs/>
          <w:color w:val="00188F"/>
        </w:rPr>
        <w:t>Percentagem de Período de Disponibilidade</w:t>
      </w:r>
      <w:r w:rsidR="00380305">
        <w:t>”</w:t>
      </w:r>
      <w:r>
        <w:t xml:space="preserve"> para a Base de Dados do Azure para MariaDB é calculada como o Máximo de Minutos Disponíveis menos o Período de Indisponibilidade a dividir pelo Máximo de Minutos Disponíveis.</w:t>
      </w:r>
    </w:p>
    <w:p w14:paraId="2EB00BE0" w14:textId="6FAD217D" w:rsidR="00C71243" w:rsidRDefault="00AC48A7" w:rsidP="00F01ED6">
      <w:pPr>
        <w:pStyle w:val="ProductList-Body"/>
      </w:pPr>
      <w:r>
        <w:t>A Percentagem de Período de Disponibilidade é representada pela seguinte fórmula:</w:t>
      </w:r>
    </w:p>
    <w:p w14:paraId="05B37320" w14:textId="77777777" w:rsidR="00C71243" w:rsidRPr="007C69E0" w:rsidRDefault="00C71243" w:rsidP="00F01ED6">
      <w:pPr>
        <w:pStyle w:val="ProductList-Body"/>
        <w:rPr>
          <w:sz w:val="12"/>
          <w:szCs w:val="12"/>
        </w:rPr>
      </w:pPr>
    </w:p>
    <w:p w14:paraId="505452FD" w14:textId="55DFFA6C" w:rsidR="00C71243"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0F69D4B" w14:textId="77777777" w:rsidR="00C71243" w:rsidRPr="00E80B8A" w:rsidRDefault="00C71243" w:rsidP="00F01ED6">
      <w:pPr>
        <w:pStyle w:val="ProductList-Body"/>
        <w:keepNext/>
        <w:jc w:val="both"/>
        <w:rPr>
          <w:b/>
          <w:bCs/>
          <w:color w:val="00188F"/>
          <w:spacing w:val="-2"/>
        </w:rPr>
      </w:pPr>
      <w:r w:rsidRPr="00E80B8A">
        <w:rPr>
          <w:b/>
          <w:bCs/>
          <w:color w:val="00188F"/>
          <w:spacing w:val="-2"/>
        </w:rPr>
        <w:t>Os seguintes Níveis de Serviço e Créditos de Serviço são aplicáveis à utilização que o Cliente faz da Base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4CD5CC" w14:textId="77777777" w:rsidR="00C71243" w:rsidRPr="00EF7CF9" w:rsidRDefault="00C71243" w:rsidP="00F01ED6">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277097">
        <w:tc>
          <w:tcPr>
            <w:tcW w:w="5400" w:type="dxa"/>
          </w:tcPr>
          <w:p w14:paraId="66D21EEE" w14:textId="00C67912" w:rsidR="00C71243" w:rsidRPr="00EF7CF9" w:rsidRDefault="00C71243" w:rsidP="00F01ED6">
            <w:pPr>
              <w:pStyle w:val="ProductList-OfferingBody"/>
              <w:jc w:val="center"/>
            </w:pPr>
            <w:r>
              <w:t>&lt; 99,99%</w:t>
            </w:r>
          </w:p>
        </w:tc>
        <w:tc>
          <w:tcPr>
            <w:tcW w:w="5400" w:type="dxa"/>
          </w:tcPr>
          <w:p w14:paraId="25F98893" w14:textId="77777777" w:rsidR="00C71243" w:rsidRPr="00EF7CF9" w:rsidRDefault="00C71243" w:rsidP="00F01ED6">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F01ED6">
            <w:pPr>
              <w:pStyle w:val="ProductList-OfferingBody"/>
              <w:jc w:val="center"/>
            </w:pPr>
            <w:r>
              <w:t>&lt; 99%</w:t>
            </w:r>
          </w:p>
        </w:tc>
        <w:tc>
          <w:tcPr>
            <w:tcW w:w="5400" w:type="dxa"/>
          </w:tcPr>
          <w:p w14:paraId="5CFE0918" w14:textId="77777777" w:rsidR="00C71243" w:rsidRPr="00EF7CF9" w:rsidRDefault="00C71243" w:rsidP="00F01ED6">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F01ED6">
            <w:pPr>
              <w:pStyle w:val="ProductList-OfferingBody"/>
              <w:jc w:val="center"/>
            </w:pPr>
            <w:r>
              <w:t>&lt; 95%</w:t>
            </w:r>
          </w:p>
        </w:tc>
        <w:tc>
          <w:tcPr>
            <w:tcW w:w="5400" w:type="dxa"/>
          </w:tcPr>
          <w:p w14:paraId="6AA9FFE9" w14:textId="14A3DFC2" w:rsidR="00C71243" w:rsidRPr="00EF7CF9" w:rsidRDefault="00C71243" w:rsidP="00F01ED6">
            <w:pPr>
              <w:pStyle w:val="ProductList-OfferingBody"/>
              <w:jc w:val="center"/>
            </w:pPr>
            <w:r>
              <w:t>100%</w:t>
            </w:r>
          </w:p>
        </w:tc>
      </w:tr>
    </w:tbl>
    <w:p w14:paraId="0BAFEBA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03A25C8" w14:textId="0EEE7C79" w:rsidR="004005AF" w:rsidRDefault="004005AF" w:rsidP="00F01ED6">
      <w:pPr>
        <w:pStyle w:val="ProductList-Offering2Heading"/>
        <w:tabs>
          <w:tab w:val="clear" w:pos="360"/>
          <w:tab w:val="clear" w:pos="720"/>
          <w:tab w:val="clear" w:pos="1080"/>
        </w:tabs>
        <w:outlineLvl w:val="2"/>
      </w:pPr>
      <w:bookmarkStart w:id="206" w:name="_Toc214456798"/>
      <w:r>
        <w:t>Base de Dados do Azure para MySQL</w:t>
      </w:r>
      <w:bookmarkEnd w:id="192"/>
      <w:bookmarkEnd w:id="193"/>
      <w:bookmarkEnd w:id="206"/>
    </w:p>
    <w:p w14:paraId="01C85662" w14:textId="77777777" w:rsidR="004005AF" w:rsidRPr="00C950BA" w:rsidRDefault="004005AF" w:rsidP="00F01ED6">
      <w:pPr>
        <w:pStyle w:val="ProductList-Body"/>
        <w:rPr>
          <w:b/>
          <w:color w:val="00188F"/>
        </w:rPr>
      </w:pPr>
      <w:r>
        <w:rPr>
          <w:b/>
          <w:color w:val="00188F"/>
        </w:rPr>
        <w:t>Base de Dados do Microsoft Azure para MySQL – Servidor Único</w:t>
      </w:r>
    </w:p>
    <w:p w14:paraId="7DA6904A" w14:textId="77777777" w:rsidR="004005AF" w:rsidRPr="00DA6241" w:rsidRDefault="004005AF" w:rsidP="00F01ED6">
      <w:pPr>
        <w:pStyle w:val="ProductList-Body"/>
      </w:pPr>
      <w:r>
        <w:rPr>
          <w:b/>
          <w:color w:val="00188F"/>
        </w:rPr>
        <w:t>Definições Adicionais</w:t>
      </w:r>
      <w:r w:rsidRPr="00473DD3">
        <w:rPr>
          <w:b/>
          <w:color w:val="00188F"/>
        </w:rPr>
        <w:t>:</w:t>
      </w:r>
    </w:p>
    <w:p w14:paraId="79FA6AE8" w14:textId="57354AE0"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Único.</w:t>
      </w:r>
    </w:p>
    <w:p w14:paraId="16E43926" w14:textId="301F0F97"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a Base de Dados do Microsoft Azure para MySQL - Servidor Único</w:t>
      </w:r>
    </w:p>
    <w:p w14:paraId="4C712BD0" w14:textId="38CAC1D3"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2CAAAF91" w14:textId="491EA661"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 indisponível. Um minuto é considerado indisponível se todas as tentativas contínuas por parte do Cliente para estabelecer uma ligação ao Servidor devolveram um Código de Erro.</w:t>
      </w:r>
    </w:p>
    <w:p w14:paraId="2B1E21D2" w14:textId="1597D846" w:rsidR="004005AF" w:rsidRDefault="004005AF" w:rsidP="00F01ED6">
      <w:pPr>
        <w:pStyle w:val="ProductList-Body"/>
      </w:pPr>
      <w:r>
        <w:t xml:space="preserve">A </w:t>
      </w:r>
      <w:r w:rsidR="00380305" w:rsidRPr="00380305">
        <w:t>“</w:t>
      </w:r>
      <w:r>
        <w:rPr>
          <w:b/>
          <w:color w:val="00188F"/>
        </w:rPr>
        <w:t>Percentagem de Período de Disponibilidade</w:t>
      </w:r>
      <w:r w:rsidR="00380305">
        <w:t>”</w:t>
      </w:r>
      <w:r>
        <w:t xml:space="preserve"> para a Base de Dados do Azure para MySQL é calculada como o Máximo de Minutos Disponíveis menos o Período de Indisponibilidade a dividir pelo Máximo de Minutos Disponíveis. </w:t>
      </w:r>
    </w:p>
    <w:p w14:paraId="3E044E74" w14:textId="7E3F4AD8" w:rsidR="004005AF" w:rsidRDefault="004005AF" w:rsidP="00F01ED6">
      <w:pPr>
        <w:pStyle w:val="ProductList-Body"/>
      </w:pPr>
      <w:r>
        <w:t xml:space="preserve">A Percentagem de Período de Disponibilidade é calculada através da seguinte fórmula: </w:t>
      </w:r>
    </w:p>
    <w:p w14:paraId="464297D3" w14:textId="77777777" w:rsidR="004005AF" w:rsidRPr="007C69E0" w:rsidRDefault="004005AF" w:rsidP="00F01ED6">
      <w:pPr>
        <w:pStyle w:val="ProductList-Body"/>
        <w:rPr>
          <w:sz w:val="12"/>
          <w:szCs w:val="12"/>
        </w:rPr>
      </w:pPr>
    </w:p>
    <w:p w14:paraId="03C751C6" w14:textId="45465677"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098BD6C" w14:textId="77777777" w:rsidR="004005AF" w:rsidRDefault="004005AF" w:rsidP="00F01ED6">
      <w:pPr>
        <w:pStyle w:val="ProductList-Body"/>
      </w:pPr>
      <w:r>
        <w:rPr>
          <w:b/>
          <w:color w:val="00188F"/>
        </w:rPr>
        <w:t>Os seguintes Níveis de Serviço e Créditos de Serviço são aplicáveis à utilização que o Cliente faz da Base de Dados do Azure para MySQL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4B18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277097">
        <w:tc>
          <w:tcPr>
            <w:tcW w:w="5400" w:type="dxa"/>
          </w:tcPr>
          <w:p w14:paraId="7AA8C5CD" w14:textId="77777777" w:rsidR="004005AF" w:rsidRPr="0076238C" w:rsidRDefault="004005AF" w:rsidP="00F01ED6">
            <w:pPr>
              <w:pStyle w:val="ProductList-OfferingBody"/>
              <w:jc w:val="center"/>
            </w:pPr>
            <w:r>
              <w:t>&lt; 99,99%</w:t>
            </w:r>
          </w:p>
        </w:tc>
        <w:tc>
          <w:tcPr>
            <w:tcW w:w="5400" w:type="dxa"/>
          </w:tcPr>
          <w:p w14:paraId="37B94C00" w14:textId="77777777" w:rsidR="004005AF" w:rsidRPr="0076238C" w:rsidRDefault="004005AF" w:rsidP="00F01ED6">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F01ED6">
            <w:pPr>
              <w:pStyle w:val="ProductList-OfferingBody"/>
              <w:jc w:val="center"/>
            </w:pPr>
            <w:r>
              <w:t>&lt; 99%</w:t>
            </w:r>
          </w:p>
        </w:tc>
        <w:tc>
          <w:tcPr>
            <w:tcW w:w="5400" w:type="dxa"/>
          </w:tcPr>
          <w:p w14:paraId="46BC5E0C" w14:textId="77777777" w:rsidR="004005AF" w:rsidRPr="0076238C" w:rsidRDefault="004005AF" w:rsidP="00F01ED6">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F01ED6">
            <w:pPr>
              <w:pStyle w:val="ProductList-OfferingBody"/>
              <w:jc w:val="center"/>
            </w:pPr>
            <w:r>
              <w:t>&lt; 95%</w:t>
            </w:r>
          </w:p>
        </w:tc>
        <w:tc>
          <w:tcPr>
            <w:tcW w:w="5400" w:type="dxa"/>
          </w:tcPr>
          <w:p w14:paraId="43F894BE" w14:textId="77777777" w:rsidR="004005AF" w:rsidRDefault="004005AF" w:rsidP="00F01ED6">
            <w:pPr>
              <w:pStyle w:val="ProductList-OfferingBody"/>
              <w:jc w:val="center"/>
            </w:pPr>
            <w:r>
              <w:t>100%</w:t>
            </w:r>
          </w:p>
        </w:tc>
      </w:tr>
    </w:tbl>
    <w:p w14:paraId="60DC947B" w14:textId="77777777" w:rsidR="004005AF" w:rsidRPr="00ED4527" w:rsidRDefault="004005AF" w:rsidP="007C69E0">
      <w:pPr>
        <w:pStyle w:val="ProductList-Body"/>
        <w:tabs>
          <w:tab w:val="clear" w:pos="360"/>
          <w:tab w:val="clear" w:pos="720"/>
          <w:tab w:val="clear" w:pos="1080"/>
        </w:tabs>
        <w:spacing w:before="120"/>
        <w:rPr>
          <w:b/>
          <w:bCs/>
        </w:rPr>
      </w:pPr>
      <w:bookmarkStart w:id="207" w:name="_Toc513395511"/>
      <w:r>
        <w:rPr>
          <w:b/>
          <w:bCs/>
          <w:color w:val="00188F"/>
        </w:rPr>
        <w:t>Base de Dados do Microsoft Azure para MySQL – Servidor Flexível</w:t>
      </w:r>
    </w:p>
    <w:p w14:paraId="093919F0" w14:textId="77777777" w:rsidR="004005AF" w:rsidRPr="00DA6241" w:rsidRDefault="004005AF" w:rsidP="00F01ED6">
      <w:pPr>
        <w:pStyle w:val="ProductList-Body"/>
      </w:pPr>
      <w:r>
        <w:rPr>
          <w:b/>
          <w:color w:val="00188F"/>
        </w:rPr>
        <w:t>Definições Adicionais</w:t>
      </w:r>
      <w:r w:rsidRPr="00473DD3">
        <w:rPr>
          <w:b/>
          <w:color w:val="00188F"/>
        </w:rPr>
        <w:t>:</w:t>
      </w:r>
    </w:p>
    <w:p w14:paraId="6EA4CB33" w14:textId="3779B439"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Flexível.</w:t>
      </w:r>
    </w:p>
    <w:p w14:paraId="43145A83" w14:textId="7F438180" w:rsidR="004005AF" w:rsidRDefault="00380305" w:rsidP="00F01ED6">
      <w:pPr>
        <w:pStyle w:val="ProductList-Body"/>
        <w:tabs>
          <w:tab w:val="clear" w:pos="360"/>
          <w:tab w:val="clear" w:pos="720"/>
          <w:tab w:val="clear" w:pos="1080"/>
        </w:tabs>
      </w:pPr>
      <w:r w:rsidRPr="00380305">
        <w:t>“</w:t>
      </w:r>
      <w:r w:rsidR="004005AF">
        <w:rPr>
          <w:b/>
          <w:bCs/>
          <w:color w:val="00188F"/>
        </w:rPr>
        <w:t>Elevada Disponibilidade</w:t>
      </w:r>
      <w:r w:rsidRPr="00380305">
        <w:t>”</w:t>
      </w:r>
      <w:r w:rsidR="004005AF">
        <w:t xml:space="preserve"> no contexto de Servidor Flexível designa um conjunto de servidores de Elevada Disponibilidade (Principal e de reserva) implementado na redundância entre zonas ou na redundância na mesma zona.</w:t>
      </w:r>
    </w:p>
    <w:p w14:paraId="7EE13E82" w14:textId="463674D0"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MySQL - Servidor Flexível</w:t>
      </w:r>
    </w:p>
    <w:p w14:paraId="22280926" w14:textId="3E9DC27A" w:rsidR="004005AF" w:rsidRDefault="00380305" w:rsidP="00F01ED6">
      <w:pPr>
        <w:pStyle w:val="ProductList-Body"/>
      </w:pPr>
      <w:r w:rsidRPr="00380305">
        <w:t>“</w:t>
      </w:r>
      <w:r w:rsidR="004005AF">
        <w:rPr>
          <w:b/>
          <w:bCs/>
          <w:color w:val="00188F"/>
        </w:rPr>
        <w:t>Máximo de Minutos Disponíveis</w:t>
      </w:r>
      <w:r w:rsidRPr="00380305">
        <w:t>”</w:t>
      </w:r>
      <w:r w:rsidR="004005AF">
        <w:t xml:space="preserve"> designa o número total de minutos para um determinado Servidor implementado pelo Cliente numa determinada subscrição do Microsoft Azure durante um Período Aplicável.</w:t>
      </w:r>
    </w:p>
    <w:p w14:paraId="74F3BD76" w14:textId="5AC74441" w:rsidR="004005AF" w:rsidRDefault="00380305" w:rsidP="00F01ED6">
      <w:pPr>
        <w:pStyle w:val="ProductList-Body"/>
      </w:pPr>
      <w:r w:rsidRPr="00380305">
        <w:t>“</w:t>
      </w:r>
      <w:r w:rsidR="004005AF">
        <w:rPr>
          <w:b/>
          <w:bCs/>
          <w:color w:val="00188F"/>
        </w:rPr>
        <w:t>Período de Indisponibilidade</w:t>
      </w:r>
      <w:r w:rsidRPr="00380305">
        <w:t>”</w:t>
      </w:r>
      <w:r w:rsidR="004005AF">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45B83CB8" w14:textId="58E5C996" w:rsidR="004005AF" w:rsidRDefault="004005AF" w:rsidP="00F01ED6">
      <w:pPr>
        <w:pStyle w:val="ProductList-Body"/>
      </w:pPr>
      <w:r>
        <w:t xml:space="preserve">A </w:t>
      </w:r>
      <w:r w:rsidR="00380305" w:rsidRPr="00380305">
        <w:t>“</w:t>
      </w:r>
      <w:r>
        <w:rPr>
          <w:b/>
          <w:bCs/>
          <w:color w:val="00188F"/>
        </w:rPr>
        <w:t>Percentagem de Período de Disponibilidade</w:t>
      </w:r>
      <w:r w:rsidR="00380305" w:rsidRPr="00380305">
        <w:t>”</w:t>
      </w:r>
      <w:r>
        <w:t xml:space="preserve"> para a Base de Dados do Azure para MySQL - Servidor Flexível é calculada como o Máximo de Minutos Disponíveis menos o Período de Indisponibilidade a dividir pelo Máximo de Minutos Disponíveis.</w:t>
      </w:r>
    </w:p>
    <w:p w14:paraId="47FE4B91" w14:textId="3F23E174" w:rsidR="004005AF" w:rsidRDefault="00AC48A7" w:rsidP="00F01ED6">
      <w:pPr>
        <w:pStyle w:val="ProductList-Body"/>
        <w:tabs>
          <w:tab w:val="clear" w:pos="360"/>
          <w:tab w:val="clear" w:pos="720"/>
          <w:tab w:val="clear" w:pos="1080"/>
        </w:tabs>
      </w:pPr>
      <w:r>
        <w:t>A Percentagem de Período de Disponibilidade é representada pela seguinte fórmula:</w:t>
      </w:r>
    </w:p>
    <w:p w14:paraId="01A5C2A9" w14:textId="77777777" w:rsidR="004005AF" w:rsidRPr="007C69E0" w:rsidRDefault="004005AF" w:rsidP="00F01ED6">
      <w:pPr>
        <w:pStyle w:val="ProductList-Body"/>
        <w:rPr>
          <w:sz w:val="12"/>
          <w:szCs w:val="12"/>
        </w:rPr>
      </w:pPr>
    </w:p>
    <w:p w14:paraId="4F297DB9" w14:textId="33DD414F"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5C9021F"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1AA9BA6"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277097">
        <w:tc>
          <w:tcPr>
            <w:tcW w:w="5400" w:type="dxa"/>
          </w:tcPr>
          <w:p w14:paraId="6FD2FC8E" w14:textId="77777777" w:rsidR="004005AF" w:rsidRPr="0076238C" w:rsidRDefault="004005AF" w:rsidP="00F01ED6">
            <w:pPr>
              <w:pStyle w:val="ProductList-OfferingBody"/>
              <w:jc w:val="center"/>
            </w:pPr>
            <w:r>
              <w:t>Menos de 99,99% e superior ou igual a 99%</w:t>
            </w:r>
          </w:p>
        </w:tc>
        <w:tc>
          <w:tcPr>
            <w:tcW w:w="5400" w:type="dxa"/>
          </w:tcPr>
          <w:p w14:paraId="0C2FBEBD" w14:textId="77777777" w:rsidR="004005AF" w:rsidRPr="0076238C" w:rsidRDefault="004005AF" w:rsidP="00F01ED6">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F01ED6">
            <w:pPr>
              <w:pStyle w:val="ProductList-OfferingBody"/>
              <w:jc w:val="center"/>
            </w:pPr>
            <w:r>
              <w:t>Menos de 99% e superior ou igual a 95%</w:t>
            </w:r>
          </w:p>
        </w:tc>
        <w:tc>
          <w:tcPr>
            <w:tcW w:w="5400" w:type="dxa"/>
          </w:tcPr>
          <w:p w14:paraId="35D8F95A" w14:textId="77777777" w:rsidR="004005AF" w:rsidRPr="0076238C" w:rsidRDefault="004005AF" w:rsidP="00F01ED6">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F01ED6">
            <w:pPr>
              <w:pStyle w:val="ProductList-OfferingBody"/>
              <w:jc w:val="center"/>
            </w:pPr>
            <w:r>
              <w:t>&lt; 95%</w:t>
            </w:r>
          </w:p>
        </w:tc>
        <w:tc>
          <w:tcPr>
            <w:tcW w:w="5400" w:type="dxa"/>
          </w:tcPr>
          <w:p w14:paraId="2F8A7162" w14:textId="77777777" w:rsidR="004005AF" w:rsidRDefault="004005AF" w:rsidP="00F01ED6">
            <w:pPr>
              <w:pStyle w:val="ProductList-OfferingBody"/>
              <w:jc w:val="center"/>
            </w:pPr>
            <w:r>
              <w:t>100%</w:t>
            </w:r>
          </w:p>
        </w:tc>
      </w:tr>
    </w:tbl>
    <w:p w14:paraId="6232831E" w14:textId="77777777" w:rsidR="004005AF" w:rsidRPr="007C69E0" w:rsidRDefault="004005AF" w:rsidP="00F01ED6">
      <w:pPr>
        <w:pStyle w:val="ProductList-Body"/>
        <w:tabs>
          <w:tab w:val="clear" w:pos="360"/>
          <w:tab w:val="clear" w:pos="720"/>
          <w:tab w:val="clear" w:pos="1080"/>
        </w:tabs>
        <w:rPr>
          <w:sz w:val="12"/>
          <w:szCs w:val="12"/>
        </w:rPr>
      </w:pPr>
    </w:p>
    <w:p w14:paraId="46DD0850"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F85FD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277097">
        <w:tc>
          <w:tcPr>
            <w:tcW w:w="5400" w:type="dxa"/>
          </w:tcPr>
          <w:p w14:paraId="6B5D0407" w14:textId="77777777" w:rsidR="004005AF" w:rsidRPr="0076238C" w:rsidRDefault="004005AF" w:rsidP="00F01ED6">
            <w:pPr>
              <w:pStyle w:val="ProductList-OfferingBody"/>
              <w:jc w:val="center"/>
            </w:pPr>
            <w:r>
              <w:t>Menos de 99,95% e superior ou igual a 99%</w:t>
            </w:r>
          </w:p>
        </w:tc>
        <w:tc>
          <w:tcPr>
            <w:tcW w:w="5400" w:type="dxa"/>
          </w:tcPr>
          <w:p w14:paraId="6A706C4A" w14:textId="77777777" w:rsidR="004005AF" w:rsidRPr="0076238C" w:rsidRDefault="004005AF" w:rsidP="00F01ED6">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F01ED6">
            <w:pPr>
              <w:pStyle w:val="ProductList-OfferingBody"/>
              <w:jc w:val="center"/>
            </w:pPr>
            <w:r>
              <w:t>&lt; 99%</w:t>
            </w:r>
          </w:p>
        </w:tc>
        <w:tc>
          <w:tcPr>
            <w:tcW w:w="5400" w:type="dxa"/>
          </w:tcPr>
          <w:p w14:paraId="08B7D64E" w14:textId="77777777" w:rsidR="004005AF" w:rsidRPr="0076238C" w:rsidRDefault="004005AF" w:rsidP="00F01ED6">
            <w:pPr>
              <w:pStyle w:val="ProductList-OfferingBody"/>
              <w:jc w:val="center"/>
            </w:pPr>
            <w:r>
              <w:t>25%</w:t>
            </w:r>
          </w:p>
        </w:tc>
      </w:tr>
    </w:tbl>
    <w:p w14:paraId="4B572E05" w14:textId="77777777" w:rsidR="004005AF" w:rsidRPr="007C69E0" w:rsidRDefault="004005AF" w:rsidP="00F01ED6">
      <w:pPr>
        <w:pStyle w:val="ProductList-Body"/>
        <w:tabs>
          <w:tab w:val="clear" w:pos="360"/>
          <w:tab w:val="clear" w:pos="720"/>
          <w:tab w:val="clear" w:pos="1080"/>
        </w:tabs>
        <w:rPr>
          <w:sz w:val="12"/>
          <w:szCs w:val="12"/>
        </w:rPr>
      </w:pPr>
    </w:p>
    <w:p w14:paraId="6A8D5FEA"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29EE20F"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277097">
        <w:tc>
          <w:tcPr>
            <w:tcW w:w="5400" w:type="dxa"/>
          </w:tcPr>
          <w:p w14:paraId="20157DEE" w14:textId="77777777" w:rsidR="004005AF" w:rsidRPr="0076238C" w:rsidRDefault="004005AF" w:rsidP="00F01ED6">
            <w:pPr>
              <w:pStyle w:val="ProductList-OfferingBody"/>
              <w:jc w:val="center"/>
            </w:pPr>
            <w:r>
              <w:t>Menos de 99,9% e superior ou igual a 99%</w:t>
            </w:r>
          </w:p>
        </w:tc>
        <w:tc>
          <w:tcPr>
            <w:tcW w:w="5400" w:type="dxa"/>
          </w:tcPr>
          <w:p w14:paraId="738CE13C" w14:textId="77777777" w:rsidR="004005AF" w:rsidRPr="0076238C" w:rsidRDefault="004005AF" w:rsidP="00F01ED6">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F01ED6">
            <w:pPr>
              <w:pStyle w:val="ProductList-OfferingBody"/>
              <w:jc w:val="center"/>
            </w:pPr>
            <w:r>
              <w:t>&lt; 99%</w:t>
            </w:r>
          </w:p>
        </w:tc>
        <w:tc>
          <w:tcPr>
            <w:tcW w:w="5400" w:type="dxa"/>
          </w:tcPr>
          <w:p w14:paraId="50CD7567" w14:textId="77777777" w:rsidR="004005AF" w:rsidRPr="0076238C" w:rsidRDefault="004005AF" w:rsidP="00F01ED6">
            <w:pPr>
              <w:pStyle w:val="ProductList-OfferingBody"/>
              <w:jc w:val="center"/>
            </w:pPr>
            <w:r>
              <w:t>25%</w:t>
            </w:r>
          </w:p>
        </w:tc>
      </w:tr>
    </w:tbl>
    <w:bookmarkStart w:id="208" w:name="_Toc52348928"/>
    <w:p w14:paraId="4BC55B0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68A13F" w14:textId="66D94BB5" w:rsidR="004005AF" w:rsidRDefault="004005AF" w:rsidP="00F01ED6">
      <w:pPr>
        <w:pStyle w:val="ProductList-Offering2Heading"/>
        <w:tabs>
          <w:tab w:val="clear" w:pos="360"/>
          <w:tab w:val="clear" w:pos="720"/>
          <w:tab w:val="clear" w:pos="1080"/>
        </w:tabs>
        <w:outlineLvl w:val="2"/>
      </w:pPr>
      <w:bookmarkStart w:id="209" w:name="_Toc214456799"/>
      <w:r>
        <w:t>Base de Dados do Azure para PostgreSQL</w:t>
      </w:r>
      <w:bookmarkEnd w:id="207"/>
      <w:bookmarkEnd w:id="208"/>
      <w:bookmarkEnd w:id="209"/>
    </w:p>
    <w:p w14:paraId="33FEE15A" w14:textId="77777777" w:rsidR="004005AF" w:rsidRPr="00E7723E" w:rsidRDefault="004005AF" w:rsidP="00F01ED6">
      <w:pPr>
        <w:pStyle w:val="ProductList-Body"/>
        <w:rPr>
          <w:b/>
          <w:color w:val="00188F"/>
        </w:rPr>
      </w:pPr>
      <w:r>
        <w:rPr>
          <w:b/>
          <w:color w:val="00188F"/>
        </w:rPr>
        <w:t>Base de Dados do Azure para PostgreSQL - Servidor Único</w:t>
      </w:r>
    </w:p>
    <w:p w14:paraId="54181003" w14:textId="77777777" w:rsidR="004005AF" w:rsidRPr="00DA6241" w:rsidRDefault="004005AF" w:rsidP="00F01ED6">
      <w:pPr>
        <w:pStyle w:val="ProductList-Body"/>
      </w:pPr>
      <w:r>
        <w:rPr>
          <w:b/>
          <w:color w:val="00188F"/>
        </w:rPr>
        <w:t>Definições Adicionais</w:t>
      </w:r>
      <w:r w:rsidRPr="00473DD3">
        <w:rPr>
          <w:b/>
          <w:color w:val="00188F"/>
        </w:rPr>
        <w:t>:</w:t>
      </w:r>
    </w:p>
    <w:p w14:paraId="3A2B2685" w14:textId="54B894C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qualquer servidor de Base de Dados do Azure para PostgreSQL - Servidor Único.</w:t>
      </w:r>
    </w:p>
    <w:p w14:paraId="24719795" w14:textId="6D012659"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conjunto de Nós de Elevada Disponibilidade.</w:t>
      </w:r>
    </w:p>
    <w:p w14:paraId="34D0EBBF" w14:textId="6BA9D296"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Nó num grupo de servidores com elevada disponibilidade ativada.</w:t>
      </w:r>
    </w:p>
    <w:p w14:paraId="4DF0D634" w14:textId="2A9C055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que é atribuído à função de Coordenador do Cluster.</w:t>
      </w:r>
    </w:p>
    <w:p w14:paraId="2B565E3C" w14:textId="05FF3F12"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que é atribuído à função de Trabalho.</w:t>
      </w:r>
    </w:p>
    <w:p w14:paraId="2B69F95E" w14:textId="05FB6519" w:rsidR="004005AF" w:rsidRPr="00ED4527" w:rsidRDefault="00EE6E3C" w:rsidP="00F01ED6">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Período de Disponibilidade e Níveis de Serviço para a Base de Dados do Microsoft Azure para PostgreSQL - Servidor Único</w:t>
      </w:r>
    </w:p>
    <w:p w14:paraId="1B904F43" w14:textId="48881B4C"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0A3D7517" w14:textId="41E2155E"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w:t>
      </w:r>
      <w:r w:rsidR="00196B1B">
        <w:rPr>
          <w:sz w:val="18"/>
        </w:rPr>
        <w:t> </w:t>
      </w:r>
      <w:r w:rsidR="004005AF">
        <w:rPr>
          <w:sz w:val="18"/>
        </w:rPr>
        <w:t>indisponível. Um minuto é considerado indisponível se todas as tentativas contínuas por parte do Cliente para estabelecer uma ligação com</w:t>
      </w:r>
      <w:r w:rsidR="00196B1B">
        <w:rPr>
          <w:sz w:val="18"/>
        </w:rPr>
        <w:t> </w:t>
      </w:r>
      <w:r w:rsidR="004005AF">
        <w:rPr>
          <w:sz w:val="18"/>
        </w:rPr>
        <w:t>o</w:t>
      </w:r>
      <w:r w:rsidR="00196B1B">
        <w:rPr>
          <w:sz w:val="18"/>
        </w:rPr>
        <w:t> </w:t>
      </w:r>
      <w:r w:rsidR="004005AF">
        <w:rPr>
          <w:sz w:val="18"/>
        </w:rPr>
        <w:t>Servidor devolverem um Código de Erro ou não responderem ao fim de um minuto.</w:t>
      </w:r>
    </w:p>
    <w:p w14:paraId="72C1AC39" w14:textId="3617F5FD"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a Base de Dados do Azure para PostgreSQL é calculada como o Máximo de Minutos Disponíveis menos o Período de Indisponibilidade a dividir pelo Máximo de Minutos Disponíveis.</w:t>
      </w:r>
    </w:p>
    <w:p w14:paraId="0AF901BE" w14:textId="718A5B80" w:rsidR="004005AF" w:rsidRDefault="004005AF" w:rsidP="00F01ED6">
      <w:pPr>
        <w:pStyle w:val="ProductList-Body"/>
      </w:pPr>
      <w:r>
        <w:t xml:space="preserve">A Percentagem de Período de Disponibilidade é calculada através da seguinte fórmula: </w:t>
      </w:r>
    </w:p>
    <w:p w14:paraId="4957341A" w14:textId="58237E6E" w:rsidR="004005AF" w:rsidRPr="00191B8C" w:rsidRDefault="00000000" w:rsidP="009F16F1">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1769BF1" w14:textId="77777777" w:rsidR="004005AF" w:rsidRDefault="004005AF" w:rsidP="00F01ED6">
      <w:pPr>
        <w:pStyle w:val="ProductList-Body"/>
        <w:keepNext/>
        <w:rPr>
          <w:b/>
          <w:color w:val="00188F"/>
        </w:rPr>
      </w:pPr>
      <w:r>
        <w:rPr>
          <w:b/>
          <w:color w:val="00188F"/>
        </w:rPr>
        <w:t>Os seguintes Níveis de Serviço e Créditos de Serviço são aplicáveis à utilização que o Cliente faz da Base de Dados do Azure para PostgreSQL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0A1CE8"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277097">
        <w:tc>
          <w:tcPr>
            <w:tcW w:w="5400" w:type="dxa"/>
          </w:tcPr>
          <w:p w14:paraId="19EF8A23" w14:textId="77777777" w:rsidR="004005AF" w:rsidRPr="0076238C" w:rsidRDefault="004005AF" w:rsidP="00F01ED6">
            <w:pPr>
              <w:pStyle w:val="ProductList-OfferingBody"/>
              <w:jc w:val="center"/>
            </w:pPr>
            <w:r>
              <w:t>&lt; 99,99%</w:t>
            </w:r>
          </w:p>
        </w:tc>
        <w:tc>
          <w:tcPr>
            <w:tcW w:w="5400" w:type="dxa"/>
          </w:tcPr>
          <w:p w14:paraId="15931EC2" w14:textId="77777777" w:rsidR="004005AF" w:rsidRPr="0076238C" w:rsidRDefault="004005AF" w:rsidP="00F01ED6">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F01ED6">
            <w:pPr>
              <w:pStyle w:val="ProductList-OfferingBody"/>
              <w:jc w:val="center"/>
            </w:pPr>
            <w:r>
              <w:t>&lt; 99%</w:t>
            </w:r>
          </w:p>
        </w:tc>
        <w:tc>
          <w:tcPr>
            <w:tcW w:w="5400" w:type="dxa"/>
          </w:tcPr>
          <w:p w14:paraId="6B3E1525" w14:textId="77777777" w:rsidR="004005AF" w:rsidRPr="0076238C" w:rsidRDefault="004005AF" w:rsidP="00F01ED6">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F01ED6">
            <w:pPr>
              <w:pStyle w:val="ProductList-OfferingBody"/>
              <w:jc w:val="center"/>
            </w:pPr>
            <w:r>
              <w:t>&lt; 95%</w:t>
            </w:r>
          </w:p>
        </w:tc>
        <w:tc>
          <w:tcPr>
            <w:tcW w:w="5400" w:type="dxa"/>
          </w:tcPr>
          <w:p w14:paraId="1B7AA6D0" w14:textId="77777777" w:rsidR="004005AF" w:rsidRDefault="004005AF" w:rsidP="00F01ED6">
            <w:pPr>
              <w:pStyle w:val="ProductList-OfferingBody"/>
              <w:jc w:val="center"/>
            </w:pPr>
            <w:r>
              <w:t>100%</w:t>
            </w:r>
          </w:p>
        </w:tc>
      </w:tr>
    </w:tbl>
    <w:p w14:paraId="36D6E7A3" w14:textId="77777777" w:rsidR="004005AF" w:rsidRPr="00ED4527" w:rsidRDefault="004005AF" w:rsidP="00C86171">
      <w:pPr>
        <w:pStyle w:val="ProductList-Body"/>
        <w:spacing w:before="120"/>
        <w:rPr>
          <w:b/>
          <w:bCs/>
          <w:color w:val="00188F"/>
        </w:rPr>
      </w:pPr>
      <w:bookmarkStart w:id="210" w:name="_Toc513395512"/>
      <w:r>
        <w:rPr>
          <w:b/>
          <w:bCs/>
          <w:color w:val="00188F"/>
        </w:rPr>
        <w:t>Base de Dados do Microsoft Azure para PostgreSQL – Servidor Flexível</w:t>
      </w:r>
    </w:p>
    <w:p w14:paraId="6D811BDF" w14:textId="77777777" w:rsidR="004005AF" w:rsidRPr="00ED4527" w:rsidRDefault="004005AF" w:rsidP="00F01ED6">
      <w:pPr>
        <w:pStyle w:val="ProductList-Body"/>
        <w:rPr>
          <w:b/>
          <w:bCs/>
          <w:color w:val="00188F"/>
        </w:rPr>
      </w:pPr>
      <w:r>
        <w:rPr>
          <w:b/>
          <w:bCs/>
          <w:color w:val="00188F"/>
        </w:rPr>
        <w:t>Definições Adicionais:</w:t>
      </w:r>
    </w:p>
    <w:p w14:paraId="0D173B0B" w14:textId="291448EC" w:rsidR="004005AF" w:rsidRPr="00ED4527" w:rsidRDefault="00380305" w:rsidP="00F01ED6">
      <w:pPr>
        <w:pStyle w:val="ProductList-Body"/>
        <w:rPr>
          <w:color w:val="000000" w:themeColor="text1"/>
        </w:rPr>
      </w:pPr>
      <w:r w:rsidRPr="00380305">
        <w:t>“</w:t>
      </w:r>
      <w:r w:rsidR="004005AF">
        <w:rPr>
          <w:b/>
          <w:bCs/>
          <w:color w:val="00188F"/>
        </w:rPr>
        <w:t>Servidor</w:t>
      </w:r>
      <w:r w:rsidRPr="00380305">
        <w:t>”</w:t>
      </w:r>
      <w:r w:rsidR="004005AF">
        <w:rPr>
          <w:color w:val="00188F"/>
        </w:rPr>
        <w:t xml:space="preserve"> </w:t>
      </w:r>
      <w:r w:rsidR="004005AF">
        <w:rPr>
          <w:color w:val="000000" w:themeColor="text1"/>
        </w:rPr>
        <w:t>é qualquer servidor de Base de Dados do Azure para PostgreSQL - Servidor Flexível.</w:t>
      </w:r>
    </w:p>
    <w:p w14:paraId="4F40C061" w14:textId="636A025F" w:rsidR="004005AF" w:rsidRPr="00ED4527" w:rsidRDefault="00380305" w:rsidP="00F01ED6">
      <w:pPr>
        <w:pStyle w:val="ProductList-Body"/>
        <w:rPr>
          <w:color w:val="000000" w:themeColor="text1"/>
        </w:rPr>
      </w:pPr>
      <w:r w:rsidRPr="00380305">
        <w:t>“</w:t>
      </w:r>
      <w:r w:rsidR="004005AF">
        <w:rPr>
          <w:b/>
          <w:bCs/>
          <w:color w:val="00188F"/>
        </w:rPr>
        <w:t>Elevada Disponibilidade</w:t>
      </w:r>
      <w:r w:rsidRPr="00380305">
        <w:t>”</w:t>
      </w:r>
      <w:r w:rsidR="004005AF">
        <w:rPr>
          <w:color w:val="00188F"/>
        </w:rPr>
        <w:t xml:space="preserve"> </w:t>
      </w:r>
      <w:r w:rsidR="004005AF">
        <w:rPr>
          <w:color w:val="000000" w:themeColor="text1"/>
        </w:rPr>
        <w:t>no contexto de Servidor Flexível designa um conjunto de servidores de Elevada Disponibilidade (Principal e de reserva) implementado numa configuração de redundância entre zonas ou na redundância na mesma zona.</w:t>
      </w:r>
    </w:p>
    <w:p w14:paraId="0221299A" w14:textId="68B71F97"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PostgreSQL - Servidor Flexível</w:t>
      </w:r>
    </w:p>
    <w:p w14:paraId="4D459CB0" w14:textId="41577466" w:rsidR="004005AF" w:rsidRPr="00ED4527" w:rsidRDefault="00380305" w:rsidP="00F01ED6">
      <w:pPr>
        <w:pStyle w:val="ProductList-Body"/>
        <w:rPr>
          <w:color w:val="000000" w:themeColor="text1"/>
        </w:rPr>
      </w:pPr>
      <w:r w:rsidRPr="00380305">
        <w:lastRenderedPageBreak/>
        <w:t>“</w:t>
      </w:r>
      <w:r w:rsidR="004005AF">
        <w:rPr>
          <w:b/>
          <w:bCs/>
          <w:color w:val="00188F"/>
        </w:rPr>
        <w:t>Máximo de Minutos Disponíveis</w:t>
      </w:r>
      <w:r w:rsidRPr="00380305">
        <w:t>”</w:t>
      </w:r>
      <w:r w:rsidR="004005AF">
        <w:rPr>
          <w:color w:val="00188F"/>
        </w:rPr>
        <w:t xml:space="preserve"> </w:t>
      </w:r>
      <w:r w:rsidR="004005AF">
        <w:rPr>
          <w:color w:val="000000" w:themeColor="text1"/>
        </w:rPr>
        <w:t>designa o número total de minutos para um determinado Servidor implementado pelo Cliente numa determinada subscrição do Microsoft Azure durante um Período Aplicável.</w:t>
      </w:r>
    </w:p>
    <w:p w14:paraId="0298D812" w14:textId="624E65B4"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3CA5E3A3" w14:textId="29F973FC" w:rsidR="004005AF" w:rsidRPr="00ED4527" w:rsidRDefault="004005AF" w:rsidP="00F01ED6">
      <w:pPr>
        <w:pStyle w:val="ProductList-Body"/>
        <w:rPr>
          <w:color w:val="000000" w:themeColor="text1"/>
        </w:rPr>
      </w:pPr>
      <w:r>
        <w:t xml:space="preserve">A </w:t>
      </w:r>
      <w:r w:rsidR="00380305" w:rsidRPr="00380305">
        <w:t>“</w:t>
      </w:r>
      <w:r>
        <w:rPr>
          <w:b/>
          <w:bCs/>
          <w:color w:val="00188F"/>
        </w:rPr>
        <w:t>Percentagem de Período de Disponibilidade</w:t>
      </w:r>
      <w:r w:rsidR="00380305" w:rsidRPr="00380305">
        <w:t>”</w:t>
      </w:r>
      <w:r>
        <w:rPr>
          <w:color w:val="000000" w:themeColor="text1"/>
        </w:rPr>
        <w:t xml:space="preserve"> para a Base de Dados do Azure para PostgreSQL - Servidor Flexível é calculada como o Máximo de</w:t>
      </w:r>
      <w:r w:rsidR="00125081">
        <w:rPr>
          <w:color w:val="000000" w:themeColor="text1"/>
        </w:rPr>
        <w:t> </w:t>
      </w:r>
      <w:r>
        <w:rPr>
          <w:color w:val="000000" w:themeColor="text1"/>
        </w:rPr>
        <w:t>Minutos Disponíveis menos o Período de Indisponibilidade a dividir pelo Máximo de Minutos Disponíveis.</w:t>
      </w:r>
    </w:p>
    <w:p w14:paraId="431AA76E" w14:textId="56A74B73" w:rsidR="004005AF"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095EED1" w14:textId="77777777" w:rsidR="004005AF" w:rsidRPr="00ED4527" w:rsidRDefault="004005AF" w:rsidP="00F01ED6">
      <w:pPr>
        <w:pStyle w:val="ProductList-Body"/>
        <w:tabs>
          <w:tab w:val="clear" w:pos="360"/>
          <w:tab w:val="clear" w:pos="720"/>
          <w:tab w:val="clear" w:pos="1080"/>
        </w:tabs>
        <w:rPr>
          <w:color w:val="000000" w:themeColor="text1"/>
        </w:rPr>
      </w:pPr>
    </w:p>
    <w:p w14:paraId="42F7A92F" w14:textId="004FAE94"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2224139" w14:textId="4A0E278A" w:rsidR="004005AF" w:rsidRDefault="004005AF" w:rsidP="009B6B6C">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005C49"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277097">
        <w:tc>
          <w:tcPr>
            <w:tcW w:w="5400" w:type="dxa"/>
          </w:tcPr>
          <w:p w14:paraId="7B6E35EE" w14:textId="77777777" w:rsidR="004005AF" w:rsidRPr="0076238C" w:rsidRDefault="004005AF" w:rsidP="00F01ED6">
            <w:pPr>
              <w:pStyle w:val="ProductList-OfferingBody"/>
              <w:jc w:val="center"/>
            </w:pPr>
            <w:r>
              <w:t>Menos de 99,99% e superior ou igual a 99%</w:t>
            </w:r>
          </w:p>
        </w:tc>
        <w:tc>
          <w:tcPr>
            <w:tcW w:w="5400" w:type="dxa"/>
          </w:tcPr>
          <w:p w14:paraId="4E17E991" w14:textId="77777777" w:rsidR="004005AF" w:rsidRPr="0076238C" w:rsidRDefault="004005AF" w:rsidP="00F01ED6">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F01ED6">
            <w:pPr>
              <w:pStyle w:val="ProductList-OfferingBody"/>
              <w:jc w:val="center"/>
            </w:pPr>
            <w:r>
              <w:t>Menos de 99% e superior ou igual a 95%</w:t>
            </w:r>
          </w:p>
        </w:tc>
        <w:tc>
          <w:tcPr>
            <w:tcW w:w="5400" w:type="dxa"/>
          </w:tcPr>
          <w:p w14:paraId="53CD4A22" w14:textId="77777777" w:rsidR="004005AF" w:rsidRPr="0076238C" w:rsidRDefault="004005AF" w:rsidP="00F01ED6">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F01ED6">
            <w:pPr>
              <w:pStyle w:val="ProductList-OfferingBody"/>
              <w:jc w:val="center"/>
            </w:pPr>
            <w:r>
              <w:t>&lt; 95%</w:t>
            </w:r>
          </w:p>
        </w:tc>
        <w:tc>
          <w:tcPr>
            <w:tcW w:w="5400" w:type="dxa"/>
          </w:tcPr>
          <w:p w14:paraId="75166A6D" w14:textId="77777777" w:rsidR="004005AF" w:rsidRDefault="004005AF" w:rsidP="00F01ED6">
            <w:pPr>
              <w:pStyle w:val="ProductList-OfferingBody"/>
              <w:jc w:val="center"/>
            </w:pPr>
            <w:r>
              <w:t>100%</w:t>
            </w:r>
          </w:p>
        </w:tc>
      </w:tr>
    </w:tbl>
    <w:p w14:paraId="5EEDF4FF" w14:textId="77777777" w:rsidR="004005AF" w:rsidRPr="000974C9" w:rsidRDefault="004005AF" w:rsidP="00F01ED6">
      <w:pPr>
        <w:pStyle w:val="ProductList-Body"/>
        <w:tabs>
          <w:tab w:val="clear" w:pos="360"/>
          <w:tab w:val="clear" w:pos="720"/>
          <w:tab w:val="clear" w:pos="1080"/>
        </w:tabs>
        <w:rPr>
          <w:sz w:val="12"/>
          <w:szCs w:val="12"/>
        </w:rPr>
      </w:pPr>
    </w:p>
    <w:p w14:paraId="69DCBF1D"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710F24"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277097">
        <w:tc>
          <w:tcPr>
            <w:tcW w:w="5400" w:type="dxa"/>
          </w:tcPr>
          <w:p w14:paraId="439832B2" w14:textId="77777777" w:rsidR="004005AF" w:rsidRPr="0076238C" w:rsidRDefault="004005AF" w:rsidP="00F01ED6">
            <w:pPr>
              <w:pStyle w:val="ProductList-OfferingBody"/>
              <w:jc w:val="center"/>
            </w:pPr>
            <w:r>
              <w:t>Menos de 99,95% e superior ou igual a 99%</w:t>
            </w:r>
          </w:p>
        </w:tc>
        <w:tc>
          <w:tcPr>
            <w:tcW w:w="5400" w:type="dxa"/>
          </w:tcPr>
          <w:p w14:paraId="40DDBEAA" w14:textId="77777777" w:rsidR="004005AF" w:rsidRPr="0076238C" w:rsidRDefault="004005AF" w:rsidP="00F01ED6">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F01ED6">
            <w:pPr>
              <w:pStyle w:val="ProductList-OfferingBody"/>
              <w:jc w:val="center"/>
            </w:pPr>
            <w:r>
              <w:t>&lt; 99%</w:t>
            </w:r>
          </w:p>
        </w:tc>
        <w:tc>
          <w:tcPr>
            <w:tcW w:w="5400" w:type="dxa"/>
          </w:tcPr>
          <w:p w14:paraId="4210AC71" w14:textId="77777777" w:rsidR="004005AF" w:rsidRPr="0076238C" w:rsidRDefault="004005AF" w:rsidP="00F01ED6">
            <w:pPr>
              <w:pStyle w:val="ProductList-OfferingBody"/>
              <w:jc w:val="center"/>
            </w:pPr>
            <w:r>
              <w:t>25%</w:t>
            </w:r>
          </w:p>
        </w:tc>
      </w:tr>
    </w:tbl>
    <w:p w14:paraId="64647DBF" w14:textId="77777777" w:rsidR="004005AF" w:rsidRPr="000974C9" w:rsidRDefault="004005AF" w:rsidP="00F01ED6">
      <w:pPr>
        <w:pStyle w:val="ProductList-Body"/>
        <w:tabs>
          <w:tab w:val="clear" w:pos="360"/>
          <w:tab w:val="clear" w:pos="720"/>
          <w:tab w:val="clear" w:pos="1080"/>
        </w:tabs>
        <w:rPr>
          <w:color w:val="000000" w:themeColor="text1"/>
          <w:sz w:val="12"/>
          <w:szCs w:val="12"/>
        </w:rPr>
      </w:pPr>
    </w:p>
    <w:p w14:paraId="7E38F208"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ED2456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277097">
        <w:tc>
          <w:tcPr>
            <w:tcW w:w="5400" w:type="dxa"/>
          </w:tcPr>
          <w:p w14:paraId="48E242CC" w14:textId="77777777" w:rsidR="004005AF" w:rsidRPr="0076238C" w:rsidRDefault="004005AF" w:rsidP="00F01ED6">
            <w:pPr>
              <w:pStyle w:val="ProductList-OfferingBody"/>
              <w:jc w:val="center"/>
            </w:pPr>
            <w:r>
              <w:t>Menos de 99,9% e superior ou igual a 99%</w:t>
            </w:r>
          </w:p>
        </w:tc>
        <w:tc>
          <w:tcPr>
            <w:tcW w:w="5400" w:type="dxa"/>
          </w:tcPr>
          <w:p w14:paraId="2B29722A" w14:textId="77777777" w:rsidR="004005AF" w:rsidRPr="0076238C" w:rsidRDefault="004005AF" w:rsidP="00F01ED6">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F01ED6">
            <w:pPr>
              <w:pStyle w:val="ProductList-OfferingBody"/>
              <w:jc w:val="center"/>
            </w:pPr>
            <w:r>
              <w:t>&lt; 99%</w:t>
            </w:r>
          </w:p>
        </w:tc>
        <w:tc>
          <w:tcPr>
            <w:tcW w:w="5400" w:type="dxa"/>
          </w:tcPr>
          <w:p w14:paraId="0A822267" w14:textId="77777777" w:rsidR="004005AF" w:rsidRPr="0076238C" w:rsidRDefault="004005AF" w:rsidP="00F01ED6">
            <w:pPr>
              <w:pStyle w:val="ProductList-OfferingBody"/>
              <w:jc w:val="center"/>
            </w:pPr>
            <w:r>
              <w:t>25%</w:t>
            </w:r>
          </w:p>
        </w:tc>
      </w:tr>
    </w:tbl>
    <w:bookmarkStart w:id="211" w:name="_Toc52348929"/>
    <w:p w14:paraId="6D513C5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F41EBE9" w14:textId="77777777" w:rsidR="00CD240F" w:rsidRPr="00CD240F" w:rsidRDefault="00CD240F" w:rsidP="00F01ED6">
      <w:pPr>
        <w:pStyle w:val="ProductList-Offering2Heading"/>
        <w:keepNext/>
        <w:tabs>
          <w:tab w:val="clear" w:pos="360"/>
          <w:tab w:val="clear" w:pos="720"/>
          <w:tab w:val="clear" w:pos="1080"/>
        </w:tabs>
        <w:outlineLvl w:val="2"/>
      </w:pPr>
      <w:bookmarkStart w:id="212" w:name="_Toc214456800"/>
      <w:r>
        <w:t>Azure Databricks</w:t>
      </w:r>
      <w:bookmarkEnd w:id="212"/>
    </w:p>
    <w:p w14:paraId="0F040D15" w14:textId="77777777" w:rsidR="00CD240F" w:rsidRPr="00CD240F" w:rsidRDefault="00CD240F" w:rsidP="00F01ED6">
      <w:pPr>
        <w:pStyle w:val="ProductList-Body"/>
        <w:rPr>
          <w:b/>
          <w:bCs/>
          <w:color w:val="00188F"/>
        </w:rPr>
      </w:pPr>
      <w:r>
        <w:rPr>
          <w:b/>
          <w:bCs/>
          <w:color w:val="00188F"/>
        </w:rPr>
        <w:t>Definições Adicionais</w:t>
      </w:r>
    </w:p>
    <w:p w14:paraId="2976A464" w14:textId="7F01D4C0" w:rsidR="00CD240F" w:rsidRDefault="00380305" w:rsidP="00F01ED6">
      <w:pPr>
        <w:pStyle w:val="ProductList-Body"/>
      </w:pPr>
      <w:r>
        <w:t>“</w:t>
      </w:r>
      <w:r w:rsidR="00CD240F">
        <w:rPr>
          <w:b/>
          <w:bCs/>
          <w:color w:val="00188F"/>
        </w:rPr>
        <w:t>Gateway do Azure Databricks</w:t>
      </w:r>
      <w:r>
        <w:t>”</w:t>
      </w:r>
      <w:r w:rsidR="00CD240F">
        <w:t xml:space="preserve"> é um conjunto de recursos informáticos que aproxima os pedidos de API e UI entre o Cliente e o Azure Databricks.</w:t>
      </w:r>
    </w:p>
    <w:p w14:paraId="120D2066" w14:textId="1B4FBB93" w:rsidR="00CD240F" w:rsidRPr="00CD240F" w:rsidRDefault="00EE6E3C" w:rsidP="00F01ED6">
      <w:pPr>
        <w:pStyle w:val="ProductList-Body"/>
        <w:spacing w:before="120"/>
        <w:rPr>
          <w:b/>
          <w:bCs/>
          <w:color w:val="00188F"/>
        </w:rPr>
      </w:pPr>
      <w:r>
        <w:rPr>
          <w:b/>
          <w:bCs/>
          <w:color w:val="00188F"/>
        </w:rPr>
        <w:t>Cálculo do Período de Disponibilidade e Níveis de Serviço para o Azure Databricks</w:t>
      </w:r>
    </w:p>
    <w:p w14:paraId="1CA09F9B" w14:textId="6FB9767B" w:rsidR="00CD240F" w:rsidRDefault="00380305" w:rsidP="00F01ED6">
      <w:pPr>
        <w:pStyle w:val="ProductList-Body"/>
      </w:pPr>
      <w:r>
        <w:t>“</w:t>
      </w:r>
      <w:r w:rsidR="00CD240F">
        <w:rPr>
          <w:b/>
          <w:bCs/>
          <w:color w:val="00188F"/>
        </w:rPr>
        <w:t>Máximo de Minutos Disponíveis</w:t>
      </w:r>
      <w:r>
        <w:t>”</w:t>
      </w:r>
      <w:r w:rsidR="00CD240F">
        <w:t xml:space="preserve"> é o número total de minutos em todos os espaços de trabalho do Azure Databricks implementados pelo Cliente numa determinada subscrição do Microsoft Azure durante um Período Aplicável.</w:t>
      </w:r>
    </w:p>
    <w:p w14:paraId="7E3ED12B" w14:textId="5CCD475D" w:rsidR="00CD240F" w:rsidRPr="00E80B8A" w:rsidRDefault="00380305" w:rsidP="00F01ED6">
      <w:pPr>
        <w:pStyle w:val="ProductList-Body"/>
        <w:rPr>
          <w:spacing w:val="-2"/>
        </w:rPr>
      </w:pPr>
      <w:r>
        <w:rPr>
          <w:spacing w:val="-2"/>
        </w:rPr>
        <w:t>“</w:t>
      </w:r>
      <w:r w:rsidR="00CD240F" w:rsidRPr="00E80B8A">
        <w:rPr>
          <w:b/>
          <w:bCs/>
          <w:color w:val="00188F"/>
          <w:spacing w:val="-2"/>
        </w:rPr>
        <w:t>Período de Indisponibilidade</w:t>
      </w:r>
      <w:r>
        <w:rPr>
          <w:spacing w:val="-2"/>
        </w:rPr>
        <w:t>”</w:t>
      </w:r>
      <w:r w:rsidR="00CD240F" w:rsidRPr="00E80B8A">
        <w:rPr>
          <w:spacing w:val="-2"/>
        </w:rPr>
        <w:t xml:space="preserve"> designa o total de minutos acumulados de indisponibilidade em todos os espaços de trabalho do Azure Databricks implementadas numa determinada subscrição do Microsoft Azure. Um minuto é considerado indisponível para um determinado espaço de trabalho do</w:t>
      </w:r>
      <w:r w:rsidR="004C15BB">
        <w:rPr>
          <w:spacing w:val="-2"/>
        </w:rPr>
        <w:t> </w:t>
      </w:r>
      <w:r w:rsidR="00CD240F" w:rsidRPr="00E80B8A">
        <w:rPr>
          <w:spacing w:val="-2"/>
        </w:rPr>
        <w:t>Azure Databricks se falharem todas as tentativas contínuas nesse minuto para estabelecer uma ligação com o Gateway do Azure Databricks.</w:t>
      </w:r>
    </w:p>
    <w:p w14:paraId="43314FEF" w14:textId="3F29D6CF" w:rsidR="00CD240F" w:rsidRDefault="00CD240F" w:rsidP="00F01ED6">
      <w:pPr>
        <w:pStyle w:val="ProductList-Body"/>
      </w:pPr>
      <w:r>
        <w:t xml:space="preserve">A </w:t>
      </w:r>
      <w:r w:rsidR="00380305">
        <w:t>“</w:t>
      </w:r>
      <w:r>
        <w:rPr>
          <w:b/>
          <w:bCs/>
          <w:color w:val="00188F"/>
        </w:rPr>
        <w:t>Percentagem de Período de Disponibilidade</w:t>
      </w:r>
      <w:r w:rsidR="00380305">
        <w:t>”</w:t>
      </w:r>
      <w:r>
        <w:t xml:space="preserve"> para o Serviço Azure Databricks é calculada como o Máximo de Minutos Disponíveis menos o</w:t>
      </w:r>
      <w:r w:rsidR="00C55C00">
        <w:t> </w:t>
      </w:r>
      <w:r>
        <w:t>Período de Indisponibilidade, dividido pelo Máximo de Minutos Disponíveis e multiplicado por 100. A Percentagem de Período de Disponibilidade é representada pela seguinte fórmula:</w:t>
      </w:r>
    </w:p>
    <w:p w14:paraId="54F54E67" w14:textId="77777777" w:rsidR="00CD240F" w:rsidRPr="000974C9" w:rsidRDefault="00CD240F" w:rsidP="00F01ED6">
      <w:pPr>
        <w:pStyle w:val="ProductList-Body"/>
        <w:tabs>
          <w:tab w:val="clear" w:pos="360"/>
          <w:tab w:val="clear" w:pos="720"/>
          <w:tab w:val="clear" w:pos="1080"/>
        </w:tabs>
        <w:rPr>
          <w:color w:val="000000" w:themeColor="text1"/>
          <w:sz w:val="12"/>
          <w:szCs w:val="12"/>
        </w:rPr>
      </w:pPr>
    </w:p>
    <w:p w14:paraId="61CDB55C" w14:textId="08D3E62B" w:rsidR="00CD240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3E99B09" w14:textId="77777777" w:rsidR="00CD240F" w:rsidRPr="00CD240F" w:rsidRDefault="00CD240F" w:rsidP="00F01ED6">
      <w:pPr>
        <w:pStyle w:val="ProductList-Body"/>
        <w:rPr>
          <w:b/>
          <w:bCs/>
          <w:color w:val="00188F"/>
        </w:rPr>
      </w:pPr>
      <w:r>
        <w:rPr>
          <w:b/>
          <w:bCs/>
          <w:color w:val="00188F"/>
        </w:rPr>
        <w:t>Os seguintes Níveis de Serviço e Créditos de Serviço são aplicáveis à utilização do Azure Databricks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9362B0" w14:textId="77777777" w:rsidR="00CD240F" w:rsidRPr="001A0074" w:rsidRDefault="00CD240F" w:rsidP="00F01ED6">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277097">
        <w:tc>
          <w:tcPr>
            <w:tcW w:w="5400" w:type="dxa"/>
          </w:tcPr>
          <w:p w14:paraId="4BBBD8EE" w14:textId="36CF79EA" w:rsidR="00CD240F" w:rsidRPr="0076238C" w:rsidRDefault="00CD240F" w:rsidP="00F01ED6">
            <w:pPr>
              <w:pStyle w:val="ProductList-OfferingBody"/>
              <w:jc w:val="center"/>
            </w:pPr>
            <w:r>
              <w:t>&lt; 99,95%</w:t>
            </w:r>
          </w:p>
        </w:tc>
        <w:tc>
          <w:tcPr>
            <w:tcW w:w="5400" w:type="dxa"/>
          </w:tcPr>
          <w:p w14:paraId="007E12EF" w14:textId="77777777" w:rsidR="00CD240F" w:rsidRPr="0076238C" w:rsidRDefault="00CD240F" w:rsidP="00F01ED6">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F01ED6">
            <w:pPr>
              <w:pStyle w:val="ProductList-OfferingBody"/>
              <w:jc w:val="center"/>
            </w:pPr>
            <w:r>
              <w:t>&lt; 99%</w:t>
            </w:r>
          </w:p>
        </w:tc>
        <w:tc>
          <w:tcPr>
            <w:tcW w:w="5400" w:type="dxa"/>
          </w:tcPr>
          <w:p w14:paraId="393CF9F4" w14:textId="77777777" w:rsidR="00CD240F" w:rsidRPr="0076238C" w:rsidRDefault="00CD240F" w:rsidP="00F01ED6">
            <w:pPr>
              <w:pStyle w:val="ProductList-OfferingBody"/>
              <w:jc w:val="center"/>
            </w:pPr>
            <w:r>
              <w:t>25%</w:t>
            </w:r>
          </w:p>
        </w:tc>
      </w:tr>
    </w:tbl>
    <w:p w14:paraId="0EF3F48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4B62E4C" w14:textId="77777777" w:rsidR="00B43BCB" w:rsidRDefault="00B43BCB">
      <w:pPr>
        <w:rPr>
          <w:rFonts w:asciiTheme="majorHAnsi" w:hAnsiTheme="majorHAnsi"/>
          <w:b/>
          <w:color w:val="0072C6"/>
          <w:sz w:val="28"/>
        </w:rPr>
      </w:pPr>
      <w:r>
        <w:br w:type="page"/>
      </w:r>
    </w:p>
    <w:p w14:paraId="3AD966BC" w14:textId="54CD5802" w:rsidR="007B7A97" w:rsidRDefault="007B7A97" w:rsidP="00F01ED6">
      <w:pPr>
        <w:pStyle w:val="ProductList-Offering2Heading"/>
        <w:tabs>
          <w:tab w:val="clear" w:pos="360"/>
          <w:tab w:val="clear" w:pos="720"/>
          <w:tab w:val="clear" w:pos="1080"/>
        </w:tabs>
        <w:outlineLvl w:val="2"/>
      </w:pPr>
      <w:bookmarkStart w:id="213" w:name="_Toc214456801"/>
      <w:r>
        <w:lastRenderedPageBreak/>
        <w:t>Gestor de Dados para Energia do Microsoft Azure</w:t>
      </w:r>
      <w:bookmarkEnd w:id="213"/>
    </w:p>
    <w:p w14:paraId="41471812" w14:textId="77777777" w:rsidR="007B7A97" w:rsidRPr="005E7AC5" w:rsidRDefault="007B7A97" w:rsidP="00F01ED6">
      <w:pPr>
        <w:pStyle w:val="ProductList-Body"/>
        <w:rPr>
          <w:b/>
          <w:color w:val="00188F"/>
        </w:rPr>
      </w:pPr>
      <w:r>
        <w:rPr>
          <w:b/>
          <w:color w:val="00188F"/>
        </w:rPr>
        <w:t>Definições adicionais:</w:t>
      </w:r>
    </w:p>
    <w:p w14:paraId="5F733D8F" w14:textId="6BC9E636" w:rsidR="007B7A97" w:rsidRDefault="00380305" w:rsidP="00F01ED6">
      <w:pPr>
        <w:spacing w:after="0" w:line="240" w:lineRule="auto"/>
      </w:pPr>
      <w:r w:rsidRPr="00380305">
        <w:rPr>
          <w:sz w:val="18"/>
        </w:rPr>
        <w:t>“</w:t>
      </w:r>
      <w:r w:rsidR="007B7A97">
        <w:rPr>
          <w:b/>
          <w:color w:val="00188F"/>
          <w:sz w:val="18"/>
        </w:rPr>
        <w:t>Cliente</w:t>
      </w:r>
      <w:r>
        <w:rPr>
          <w:sz w:val="18"/>
        </w:rPr>
        <w:t>”</w:t>
      </w:r>
      <w:r w:rsidR="007B7A97">
        <w:rPr>
          <w:sz w:val="18"/>
        </w:rPr>
        <w:t xml:space="preserve"> é a parte destinada ao utilizador final do recurso Gestor de Dados para Energia do Microsoft Azure.</w:t>
      </w:r>
      <w:r w:rsidR="007B7A97">
        <w:t xml:space="preserve"> </w:t>
      </w:r>
    </w:p>
    <w:p w14:paraId="172835FD" w14:textId="0337FC85" w:rsidR="007B7A97" w:rsidRDefault="00380305" w:rsidP="00F01ED6">
      <w:pPr>
        <w:pStyle w:val="ProductList-Body"/>
      </w:pPr>
      <w:r>
        <w:t>“</w:t>
      </w:r>
      <w:r w:rsidR="007B7A97">
        <w:rPr>
          <w:b/>
          <w:color w:val="00188F"/>
        </w:rPr>
        <w:t>Total de Pedidos de API</w:t>
      </w:r>
      <w:r>
        <w:t>”</w:t>
      </w:r>
      <w:r w:rsidR="007B7A97">
        <w:t xml:space="preserve"> designa o número total de pedidos de API autenticados feitos pelo cliente para qualquer um dos pontos finais da API do respetivo recurso Gestor de Dados para Energia do Azure durante um Período Aplicável para uma determinada subscrição do Microsoft Azure. </w:t>
      </w:r>
    </w:p>
    <w:p w14:paraId="7CABD70A" w14:textId="7BFE299D" w:rsidR="007B7A97" w:rsidRDefault="00380305" w:rsidP="00F01ED6">
      <w:pPr>
        <w:pStyle w:val="ProductList-Body"/>
      </w:pPr>
      <w:r>
        <w:t>“</w:t>
      </w:r>
      <w:r w:rsidR="007B7A97">
        <w:rPr>
          <w:b/>
          <w:color w:val="00188F"/>
        </w:rPr>
        <w:t>Pedidos de API com Falhas</w:t>
      </w:r>
      <w:r>
        <w:t>”</w:t>
      </w:r>
      <w:r w:rsidR="007B7A97">
        <w:t xml:space="preserve"> é o conjunto de todos os pedidos de API entre o Total de Pedidos de API que resultam num Código de Erro. </w:t>
      </w:r>
    </w:p>
    <w:p w14:paraId="3FDDB652" w14:textId="340EF086" w:rsidR="007B7A97" w:rsidRDefault="00AC48A7" w:rsidP="00F01ED6">
      <w:pPr>
        <w:pStyle w:val="ProductList-Body"/>
      </w:pPr>
      <w:r w:rsidRPr="00847C33">
        <w:rPr>
          <w:b/>
          <w:color w:val="00188F"/>
        </w:rPr>
        <w:t>Percentagem de Período de Disponibilidade</w:t>
      </w:r>
      <w:r>
        <w:t>: A Percentagem de Período de Disponibilidade é calculada através da seguinte fórmula:</w:t>
      </w:r>
    </w:p>
    <w:p w14:paraId="4B6C405C" w14:textId="0E56EDB4" w:rsidR="007B7A97" w:rsidRPr="005E7AC5" w:rsidRDefault="00000000" w:rsidP="00A12377">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Pedidos da API-Pedidos da API com Falha</m:t>
              </m:r>
            </m:num>
            <m:den>
              <m:r>
                <m:rPr>
                  <m:nor/>
                </m:rPr>
                <w:rPr>
                  <w:rFonts w:ascii="Cambria Math" w:hAnsi="Cambria Math" w:cs="Tahoma"/>
                  <w:i/>
                  <w:iCs/>
                  <w:sz w:val="18"/>
                  <w:szCs w:val="18"/>
                </w:rPr>
                <m:t>Total de Pedidos da API</m:t>
              </m:r>
            </m:den>
          </m:f>
          <m:r>
            <w:rPr>
              <w:rFonts w:ascii="Cambria Math" w:hAnsi="Cambria Math" w:cs="Tahoma"/>
              <w:sz w:val="18"/>
              <w:szCs w:val="18"/>
            </w:rPr>
            <m:t xml:space="preserve"> x 100</m:t>
          </m:r>
        </m:oMath>
      </m:oMathPara>
    </w:p>
    <w:p w14:paraId="12EDEDD4" w14:textId="11044DE7" w:rsidR="007B7A97" w:rsidRPr="008A2AEE" w:rsidRDefault="007B7A97" w:rsidP="00F01ED6">
      <w:pPr>
        <w:spacing w:after="0" w:line="240" w:lineRule="auto"/>
        <w:rPr>
          <w:b/>
          <w:bCs/>
          <w:color w:val="2E74B5" w:themeColor="accent1" w:themeShade="BF"/>
          <w:sz w:val="18"/>
          <w:szCs w:val="18"/>
        </w:rPr>
      </w:pPr>
      <w:r>
        <w:rPr>
          <w:b/>
          <w:bCs/>
          <w:color w:val="2E74B5" w:themeColor="accent1" w:themeShade="BF"/>
          <w:sz w:val="18"/>
          <w:szCs w:val="18"/>
        </w:rPr>
        <w:t>Crédito de Serviço</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F01ED6">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596D52C2" w:rsidR="007B7A97" w:rsidRDefault="007B7A97" w:rsidP="00F01ED6">
            <w:pPr>
              <w:pStyle w:val="ProductList-OfferingBody"/>
              <w:jc w:val="center"/>
            </w:pPr>
            <w:r>
              <w:t>&lt;</w:t>
            </w:r>
            <w:r w:rsidR="00F01ED6">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F01ED6">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F01ED6">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F01ED6">
            <w:pPr>
              <w:pStyle w:val="ProductList-OfferingBody"/>
              <w:jc w:val="center"/>
            </w:pPr>
            <w:r>
              <w:t>25%</w:t>
            </w:r>
          </w:p>
        </w:tc>
      </w:tr>
    </w:tbl>
    <w:p w14:paraId="47A59A6E" w14:textId="77777777" w:rsidR="007B7A97" w:rsidRPr="007C69E0" w:rsidRDefault="007B7A97" w:rsidP="00F01ED6">
      <w:pPr>
        <w:spacing w:after="0" w:line="240" w:lineRule="auto"/>
        <w:rPr>
          <w:rFonts w:ascii="Segoe UI" w:hAnsi="Segoe UI" w:cs="Segoe UI"/>
          <w:sz w:val="12"/>
          <w:szCs w:val="12"/>
        </w:rPr>
      </w:pPr>
    </w:p>
    <w:p w14:paraId="37225344" w14:textId="77777777" w:rsidR="007B7A97" w:rsidRPr="005E7AC5" w:rsidRDefault="007B7A97" w:rsidP="00F01ED6">
      <w:pPr>
        <w:pStyle w:val="ProductList-Body"/>
      </w:pPr>
      <w:r>
        <w:rPr>
          <w:b/>
          <w:color w:val="00188F"/>
        </w:rPr>
        <w:t>Exceções de nível de serviço</w:t>
      </w:r>
      <w:r w:rsidRPr="00473DD3">
        <w:rPr>
          <w:b/>
          <w:color w:val="00188F"/>
        </w:rPr>
        <w:t>:</w:t>
      </w:r>
      <w:r>
        <w:t xml:space="preserve"> Os Níveis de Serviço e os Créditos de Serviço são aplicáveis à utilização que o Cliente faz da Camada Standard do Gestor de Dados para Energia do Azure. A Camada Developer do Gestor de Dados para Energia do Microsoft Azure não está sujeita a este SLA.</w:t>
      </w:r>
    </w:p>
    <w:p w14:paraId="166AF72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7F28C626" w14:textId="11313304" w:rsidR="004005AF" w:rsidRDefault="004005AF" w:rsidP="00F01ED6">
      <w:pPr>
        <w:pStyle w:val="ProductList-Offering2Heading"/>
        <w:tabs>
          <w:tab w:val="clear" w:pos="360"/>
          <w:tab w:val="clear" w:pos="720"/>
          <w:tab w:val="clear" w:pos="1080"/>
        </w:tabs>
        <w:outlineLvl w:val="2"/>
      </w:pPr>
      <w:bookmarkStart w:id="214" w:name="_Toc214456802"/>
      <w:r>
        <w:t>Azure DDoS Protection</w:t>
      </w:r>
      <w:bookmarkEnd w:id="210"/>
      <w:bookmarkEnd w:id="211"/>
      <w:bookmarkEnd w:id="214"/>
    </w:p>
    <w:p w14:paraId="5A46A1CE" w14:textId="77777777" w:rsidR="004005AF" w:rsidRPr="00DA6241" w:rsidRDefault="004005AF" w:rsidP="00F01ED6">
      <w:pPr>
        <w:pStyle w:val="ProductList-Body"/>
      </w:pPr>
      <w:r>
        <w:rPr>
          <w:b/>
          <w:color w:val="00188F"/>
        </w:rPr>
        <w:t>Definições Adicionais</w:t>
      </w:r>
      <w:r w:rsidRPr="00473DD3">
        <w:rPr>
          <w:b/>
          <w:color w:val="00188F"/>
        </w:rPr>
        <w:t>:</w:t>
      </w:r>
    </w:p>
    <w:p w14:paraId="62BA3B5E" w14:textId="2DDD44E8"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designa o número total de minutos durante os quais o Serviço DDoS Protection está ativado para uma determinada subscrição do Microsoft Azure durante um Período Aplicável.</w:t>
      </w:r>
    </w:p>
    <w:p w14:paraId="1D8475B1" w14:textId="724F904D" w:rsidR="004005AF" w:rsidRPr="00ED4527" w:rsidRDefault="00380305" w:rsidP="00F01ED6">
      <w:pPr>
        <w:spacing w:after="0" w:line="240" w:lineRule="auto"/>
        <w:rPr>
          <w:color w:val="000000" w:themeColor="text1"/>
          <w:sz w:val="18"/>
        </w:rPr>
      </w:pPr>
      <w:r>
        <w:rPr>
          <w:sz w:val="18"/>
        </w:rPr>
        <w:t>“</w:t>
      </w:r>
      <w:r w:rsidR="004005AF">
        <w:rPr>
          <w:b/>
          <w:color w:val="00188F"/>
          <w:sz w:val="18"/>
        </w:rPr>
        <w:t>Período de Indisponibilidade</w:t>
      </w:r>
      <w:r>
        <w:rPr>
          <w:sz w:val="18"/>
        </w:rPr>
        <w:t>”</w:t>
      </w:r>
      <w:r w:rsidR="004005AF">
        <w:rPr>
          <w:sz w:val="18"/>
          <w:szCs w:val="18"/>
        </w:rPr>
        <w:t xml:space="preserve"> </w:t>
      </w:r>
      <w:r w:rsidR="004005AF">
        <w:rPr>
          <w:sz w:val="18"/>
        </w:rPr>
        <w:t xml:space="preserve">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w:t>
      </w:r>
      <w:r w:rsidR="004005AF">
        <w:rPr>
          <w:color w:val="000000" w:themeColor="text1"/>
          <w:sz w:val="18"/>
        </w:rPr>
        <w:t>respetivo SLA</w:t>
      </w:r>
      <w:r w:rsidR="004005AF">
        <w:rPr>
          <w:color w:val="000000" w:themeColor="text1"/>
          <w:sz w:val="18"/>
          <w:szCs w:val="18"/>
        </w:rPr>
        <w:t xml:space="preserve"> pelos recursos do Azure subjacentes.</w:t>
      </w:r>
    </w:p>
    <w:p w14:paraId="7DA3DA65" w14:textId="217E9942"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é calculada como o Máximo de Minutos Disponíveis menos o Período de Indisponibilidade a</w:t>
      </w:r>
      <w:r w:rsidR="00C55C00">
        <w:rPr>
          <w:bCs/>
          <w:color w:val="000000" w:themeColor="text1"/>
        </w:rPr>
        <w:t> </w:t>
      </w:r>
      <w:r>
        <w:rPr>
          <w:bCs/>
          <w:color w:val="000000" w:themeColor="text1"/>
        </w:rPr>
        <w:t>dividir pelo Máximo de Minutos Disponíveis multiplicado por 100.</w:t>
      </w:r>
    </w:p>
    <w:p w14:paraId="11FE3F64" w14:textId="5D6CF346" w:rsidR="004005AF" w:rsidRDefault="004005AF" w:rsidP="00D2226A">
      <w:pPr>
        <w:pStyle w:val="ProductList-Body"/>
        <w:keepNext/>
      </w:pPr>
      <w:r>
        <w:t>A Percentagem de Período de Disponibilidade é calculada através da seguinte fórmula:</w:t>
      </w:r>
    </w:p>
    <w:p w14:paraId="61D2ABFA" w14:textId="77777777" w:rsidR="004005AF" w:rsidRDefault="004005AF" w:rsidP="00F01ED6">
      <w:pPr>
        <w:pStyle w:val="ProductList-Body"/>
      </w:pPr>
    </w:p>
    <w:p w14:paraId="6A1C8F0D" w14:textId="5D10321B" w:rsidR="004005AF"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4A8E1E0" w14:textId="77777777" w:rsidR="004005AF" w:rsidRDefault="004005AF" w:rsidP="00F01ED6">
      <w:pPr>
        <w:pStyle w:val="ProductList-Body"/>
        <w:keepNext/>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A29B6D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277097">
        <w:tc>
          <w:tcPr>
            <w:tcW w:w="5400" w:type="dxa"/>
          </w:tcPr>
          <w:p w14:paraId="48ECF269" w14:textId="77777777" w:rsidR="004005AF" w:rsidRPr="0076238C" w:rsidRDefault="004005AF" w:rsidP="00F01ED6">
            <w:pPr>
              <w:pStyle w:val="ProductList-OfferingBody"/>
              <w:jc w:val="center"/>
            </w:pPr>
            <w:r>
              <w:t>&lt; 99,99%</w:t>
            </w:r>
          </w:p>
        </w:tc>
        <w:tc>
          <w:tcPr>
            <w:tcW w:w="5400" w:type="dxa"/>
          </w:tcPr>
          <w:p w14:paraId="451C8035" w14:textId="77777777" w:rsidR="004005AF" w:rsidRPr="0076238C" w:rsidRDefault="004005AF" w:rsidP="00F01ED6">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F01ED6">
            <w:pPr>
              <w:pStyle w:val="ProductList-OfferingBody"/>
              <w:jc w:val="center"/>
            </w:pPr>
            <w:r>
              <w:t>&lt; 99,95%</w:t>
            </w:r>
          </w:p>
        </w:tc>
        <w:tc>
          <w:tcPr>
            <w:tcW w:w="5400" w:type="dxa"/>
          </w:tcPr>
          <w:p w14:paraId="4A518C21" w14:textId="77777777" w:rsidR="004005AF" w:rsidRPr="0076238C" w:rsidRDefault="004005AF" w:rsidP="00F01ED6">
            <w:pPr>
              <w:pStyle w:val="ProductList-OfferingBody"/>
              <w:jc w:val="center"/>
            </w:pPr>
            <w:r>
              <w:t>25%</w:t>
            </w:r>
          </w:p>
        </w:tc>
      </w:tr>
    </w:tbl>
    <w:bookmarkStart w:id="215" w:name="_Toc52348939"/>
    <w:bookmarkStart w:id="216" w:name="_Toc526859657"/>
    <w:bookmarkStart w:id="217" w:name="_Toc52348930"/>
    <w:bookmarkEnd w:id="194"/>
    <w:p w14:paraId="1B0A8EE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DE261" w14:textId="77777777" w:rsidR="00DE24F0" w:rsidRPr="00EF7CF9" w:rsidRDefault="00DE24F0" w:rsidP="00F01ED6">
      <w:pPr>
        <w:pStyle w:val="ProductList-Offering2Heading"/>
        <w:keepNext/>
        <w:tabs>
          <w:tab w:val="clear" w:pos="360"/>
          <w:tab w:val="clear" w:pos="720"/>
          <w:tab w:val="clear" w:pos="1080"/>
        </w:tabs>
        <w:outlineLvl w:val="2"/>
      </w:pPr>
      <w:bookmarkStart w:id="218" w:name="_Toc214456803"/>
      <w:r>
        <w:t xml:space="preserve">Azure </w:t>
      </w:r>
      <w:bookmarkEnd w:id="215"/>
      <w:r>
        <w:t>Defender</w:t>
      </w:r>
      <w:bookmarkEnd w:id="218"/>
    </w:p>
    <w:p w14:paraId="56727881" w14:textId="77777777" w:rsidR="00DE24F0" w:rsidRPr="00EF7CF9" w:rsidRDefault="00DE24F0" w:rsidP="00F01ED6">
      <w:pPr>
        <w:pStyle w:val="ProductList-Body"/>
      </w:pPr>
      <w:r>
        <w:rPr>
          <w:b/>
          <w:color w:val="00188F"/>
        </w:rPr>
        <w:t>Definições Adicionais</w:t>
      </w:r>
      <w:r w:rsidRPr="00473DD3">
        <w:rPr>
          <w:b/>
          <w:color w:val="00188F"/>
        </w:rPr>
        <w:t>:</w:t>
      </w:r>
    </w:p>
    <w:p w14:paraId="0085E1D5" w14:textId="5C16A9ED" w:rsidR="00DE24F0" w:rsidRPr="00EF7CF9" w:rsidRDefault="00380305" w:rsidP="00F01ED6">
      <w:pPr>
        <w:pStyle w:val="ProductList-Body"/>
        <w:spacing w:after="40"/>
      </w:pPr>
      <w:r>
        <w:t>“</w:t>
      </w:r>
      <w:r w:rsidR="00DE24F0">
        <w:rPr>
          <w:b/>
          <w:color w:val="00188F"/>
        </w:rPr>
        <w:t>Nó Protegido</w:t>
      </w:r>
      <w:r>
        <w:t>”</w:t>
      </w:r>
      <w:r w:rsidR="00DE24F0">
        <w:t xml:space="preserve"> designa um recurso do Microsoft Azure, contabilizado como um nó para efeitos de faturação, que está configurado para o Azure Defender.</w:t>
      </w:r>
    </w:p>
    <w:p w14:paraId="2B354A40" w14:textId="59197EB0" w:rsidR="00DE24F0" w:rsidRPr="00EF7CF9" w:rsidRDefault="00380305" w:rsidP="00F01ED6">
      <w:pPr>
        <w:pStyle w:val="ProductList-Body"/>
        <w:spacing w:after="40"/>
      </w:pPr>
      <w:r>
        <w:t>“</w:t>
      </w:r>
      <w:r w:rsidR="00DE24F0">
        <w:rPr>
          <w:b/>
          <w:color w:val="00188F"/>
        </w:rPr>
        <w:t>Monitorização da Segurança</w:t>
      </w:r>
      <w:r>
        <w:t>”</w:t>
      </w:r>
      <w:r w:rsidR="00DE24F0">
        <w:t xml:space="preserve"> designa a avaliação de um Nó Protegido que resulta em conclusões potenciais, como o estado de funcionamento da</w:t>
      </w:r>
      <w:r w:rsidR="00351A83">
        <w:t> </w:t>
      </w:r>
      <w:r w:rsidR="00DE24F0">
        <w:t>segurança, as recomendações e os alertas de segurança, expostas no Azure Defender.</w:t>
      </w:r>
    </w:p>
    <w:p w14:paraId="366E30A0" w14:textId="39DD5EDF" w:rsidR="00DE24F0" w:rsidRPr="00EF7CF9" w:rsidRDefault="00380305" w:rsidP="00F01ED6">
      <w:pPr>
        <w:pStyle w:val="ProductList-Body"/>
        <w:spacing w:after="40"/>
      </w:pPr>
      <w:r>
        <w:t>“</w:t>
      </w:r>
      <w:r w:rsidR="00DE24F0">
        <w:rPr>
          <w:b/>
          <w:color w:val="00188F"/>
        </w:rPr>
        <w:t>Máximo de Minutos Disponíveis</w:t>
      </w:r>
      <w:r>
        <w:t>”</w:t>
      </w:r>
      <w:r w:rsidR="00DE24F0">
        <w:t xml:space="preserve"> designa o número total de minutos durante um Período Aplicável em que um determinado Nó Protegido foi implementado e configurado para Monitorização da Segurança.</w:t>
      </w:r>
    </w:p>
    <w:p w14:paraId="3C4C3205" w14:textId="5CCD8E07" w:rsidR="00DE24F0" w:rsidRPr="00B44CF9" w:rsidRDefault="00380305" w:rsidP="00F01ED6">
      <w:pPr>
        <w:spacing w:after="0" w:line="240" w:lineRule="auto"/>
        <w:rPr>
          <w:sz w:val="18"/>
          <w:szCs w:val="18"/>
        </w:rPr>
      </w:pPr>
      <w:r>
        <w:rPr>
          <w:sz w:val="18"/>
          <w:szCs w:val="18"/>
        </w:rPr>
        <w:t>“</w:t>
      </w:r>
      <w:r w:rsidR="00DE24F0">
        <w:rPr>
          <w:b/>
          <w:color w:val="00188F"/>
          <w:sz w:val="18"/>
        </w:rPr>
        <w:t>Período de Indisponibilidade</w:t>
      </w:r>
      <w:r>
        <w:rPr>
          <w:sz w:val="18"/>
          <w:szCs w:val="18"/>
        </w:rPr>
        <w:t>”</w:t>
      </w:r>
      <w:r w:rsidR="00DE24F0">
        <w:rPr>
          <w:sz w:val="18"/>
          <w:szCs w:val="18"/>
        </w:rPr>
        <w:t xml:space="preserve"> </w:t>
      </w:r>
      <w:r w:rsidR="00DE24F0">
        <w:rPr>
          <w:sz w:val="18"/>
        </w:rPr>
        <w:t>designa o total de minutos acumulados durante um Período Aplicável em que as informações de Monitorização da</w:t>
      </w:r>
      <w:r w:rsidR="00651B27">
        <w:rPr>
          <w:sz w:val="18"/>
        </w:rPr>
        <w:t> </w:t>
      </w:r>
      <w:r w:rsidR="00DE24F0">
        <w:rPr>
          <w:sz w:val="18"/>
        </w:rPr>
        <w:t>Segurança de um determinado Nó Protegido estão indisponíveis. Um minuto é considerado indisponível para um determinado Nó Protegido se</w:t>
      </w:r>
      <w:r w:rsidR="00651B27">
        <w:rPr>
          <w:sz w:val="18"/>
        </w:rPr>
        <w:t> </w:t>
      </w:r>
      <w:r w:rsidR="00DE24F0">
        <w:rPr>
          <w:sz w:val="18"/>
        </w:rPr>
        <w:t>todas as tentativas contínuas para obter informações de Monitorização da Segurança durante um minuto resultarem num Código de Erro ou não</w:t>
      </w:r>
      <w:r w:rsidR="00651B27">
        <w:rPr>
          <w:sz w:val="18"/>
        </w:rPr>
        <w:t> </w:t>
      </w:r>
      <w:r w:rsidR="00DE24F0">
        <w:rPr>
          <w:sz w:val="18"/>
        </w:rPr>
        <w:t>devolverem um Código de Êxito num prazo de dois minutos</w:t>
      </w:r>
      <w:r w:rsidR="00DE24F0">
        <w:rPr>
          <w:sz w:val="18"/>
          <w:szCs w:val="18"/>
        </w:rPr>
        <w:t>.</w:t>
      </w:r>
    </w:p>
    <w:p w14:paraId="5227BB56" w14:textId="2916E201" w:rsidR="00DE24F0" w:rsidRPr="00ED4527" w:rsidRDefault="00DE24F0" w:rsidP="00F01ED6">
      <w:pPr>
        <w:pStyle w:val="ProductList-Body"/>
        <w:rPr>
          <w:color w:val="000000" w:themeColor="text1"/>
        </w:rPr>
      </w:pPr>
      <w:r>
        <w:t xml:space="preserve">A </w:t>
      </w:r>
      <w:r w:rsidR="00380305" w:rsidRPr="00380305">
        <w:t>“</w:t>
      </w:r>
      <w:r>
        <w:rPr>
          <w:b/>
          <w:color w:val="00188F"/>
        </w:rPr>
        <w:t>Percentagem de Período de Disponibilidade</w:t>
      </w:r>
      <w:r w:rsidR="00380305" w:rsidRPr="00380305">
        <w:t>”</w:t>
      </w:r>
      <w:r>
        <w:t xml:space="preserve"> </w:t>
      </w:r>
      <w:r>
        <w:rPr>
          <w:color w:val="000000" w:themeColor="text1"/>
        </w:rPr>
        <w:t>para o Azure Defender de um determinado Nó Protegido num determinado Período Aplicável é</w:t>
      </w:r>
      <w:r w:rsidR="00C55C00">
        <w:rPr>
          <w:color w:val="000000" w:themeColor="text1"/>
        </w:rPr>
        <w:t> </w:t>
      </w:r>
      <w:r>
        <w:rPr>
          <w:color w:val="000000" w:themeColor="text1"/>
        </w:rPr>
        <w:t>calculada como o Máximo de Minutos Disponíveis menos o Período de Indisponibilidade, dividido pelo Máximo de Minutos Disponíveis.</w:t>
      </w:r>
    </w:p>
    <w:p w14:paraId="594AC40F" w14:textId="19720EB4" w:rsidR="00DE24F0" w:rsidRDefault="00DE24F0" w:rsidP="00F01ED6">
      <w:pPr>
        <w:pStyle w:val="ProductList-Body"/>
        <w:keepNext/>
        <w:keepLines/>
      </w:pPr>
      <w:r>
        <w:lastRenderedPageBreak/>
        <w:t>A Percentagem de Período de Disponibilidade é calculada através da seguinte fórmula:</w:t>
      </w:r>
    </w:p>
    <w:p w14:paraId="245049EB" w14:textId="77777777" w:rsidR="00DE24F0" w:rsidRPr="00EF7CF9" w:rsidRDefault="00DE24F0" w:rsidP="00F01ED6">
      <w:pPr>
        <w:pStyle w:val="ProductList-Body"/>
        <w:keepNext/>
        <w:keepLines/>
      </w:pPr>
    </w:p>
    <w:p w14:paraId="37308760" w14:textId="463494DE" w:rsidR="00DE24F0" w:rsidRPr="00EF7CF9" w:rsidRDefault="00000000" w:rsidP="00F01ED6">
      <w:pPr>
        <w:pStyle w:val="ListParagraph"/>
        <w:keepNext/>
        <w:keepLines/>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BC640E5" w14:textId="77777777" w:rsidR="00DE24F0" w:rsidRPr="003C461E" w:rsidRDefault="00DE24F0" w:rsidP="00F01ED6">
      <w:pPr>
        <w:pStyle w:val="ProductList-Body"/>
        <w:rPr>
          <w:b/>
          <w:color w:val="00188F"/>
        </w:rPr>
      </w:pPr>
      <w:r>
        <w:rPr>
          <w:b/>
          <w:color w:val="00188F"/>
        </w:rPr>
        <w:t>Os seguintes Níveis de Serviço e Créditos de Serviço são aplicáveis à utilização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8F65282" w14:textId="77777777" w:rsidR="00DE24F0" w:rsidRPr="00EF7CF9" w:rsidRDefault="00DE24F0" w:rsidP="00F01ED6">
            <w:pPr>
              <w:pStyle w:val="ProductList-OfferingBody"/>
              <w:jc w:val="center"/>
              <w:rPr>
                <w:color w:val="FFFFFF" w:themeColor="background1"/>
              </w:rPr>
            </w:pPr>
            <w:r>
              <w:rPr>
                <w:color w:val="FFFFFF" w:themeColor="background1"/>
              </w:rPr>
              <w:t>Crédito de Serviço</w:t>
            </w:r>
          </w:p>
        </w:tc>
      </w:tr>
      <w:tr w:rsidR="00DE24F0" w:rsidRPr="00B44CF9" w14:paraId="12276B24" w14:textId="77777777" w:rsidTr="00277097">
        <w:tc>
          <w:tcPr>
            <w:tcW w:w="5400" w:type="dxa"/>
          </w:tcPr>
          <w:p w14:paraId="7342ED85" w14:textId="77777777" w:rsidR="00DE24F0" w:rsidRPr="00EF7CF9" w:rsidRDefault="00DE24F0" w:rsidP="00F01ED6">
            <w:pPr>
              <w:pStyle w:val="ProductList-OfferingBody"/>
              <w:jc w:val="center"/>
            </w:pPr>
            <w:r>
              <w:t>&lt; 99,9%</w:t>
            </w:r>
          </w:p>
        </w:tc>
        <w:tc>
          <w:tcPr>
            <w:tcW w:w="5400" w:type="dxa"/>
          </w:tcPr>
          <w:p w14:paraId="699EF4EF" w14:textId="77777777" w:rsidR="00DE24F0" w:rsidRPr="00EF7CF9" w:rsidRDefault="00DE24F0" w:rsidP="00F01ED6">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F01ED6">
            <w:pPr>
              <w:pStyle w:val="ProductList-OfferingBody"/>
              <w:jc w:val="center"/>
            </w:pPr>
            <w:r>
              <w:t>&lt; 99%</w:t>
            </w:r>
          </w:p>
        </w:tc>
        <w:tc>
          <w:tcPr>
            <w:tcW w:w="5400" w:type="dxa"/>
          </w:tcPr>
          <w:p w14:paraId="4F2000CD" w14:textId="77777777" w:rsidR="00DE24F0" w:rsidRPr="00EF7CF9" w:rsidRDefault="00DE24F0" w:rsidP="00F01ED6">
            <w:pPr>
              <w:pStyle w:val="ProductList-OfferingBody"/>
              <w:jc w:val="center"/>
            </w:pPr>
            <w:r>
              <w:t>25%</w:t>
            </w:r>
          </w:p>
        </w:tc>
      </w:tr>
    </w:tbl>
    <w:p w14:paraId="6DE916E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1EE902" w14:textId="77777777" w:rsidR="00781010" w:rsidRPr="00781010" w:rsidRDefault="00781010" w:rsidP="00F01ED6">
      <w:pPr>
        <w:pStyle w:val="ProductList-Offering2Heading"/>
        <w:keepNext/>
        <w:tabs>
          <w:tab w:val="clear" w:pos="360"/>
          <w:tab w:val="clear" w:pos="720"/>
          <w:tab w:val="clear" w:pos="1080"/>
        </w:tabs>
        <w:outlineLvl w:val="2"/>
      </w:pPr>
      <w:bookmarkStart w:id="219" w:name="_Toc214456804"/>
      <w:r>
        <w:t>Defender External Attack Surface Management</w:t>
      </w:r>
      <w:bookmarkEnd w:id="219"/>
    </w:p>
    <w:p w14:paraId="20DDC606" w14:textId="77777777" w:rsidR="00781010" w:rsidRPr="00781010" w:rsidRDefault="00781010" w:rsidP="00F01ED6">
      <w:pPr>
        <w:pStyle w:val="ProductList-Body"/>
        <w:rPr>
          <w:b/>
          <w:bCs/>
          <w:color w:val="00188F"/>
        </w:rPr>
      </w:pPr>
      <w:r>
        <w:rPr>
          <w:b/>
          <w:bCs/>
          <w:color w:val="00188F"/>
        </w:rPr>
        <w:t>Definições Adicionais</w:t>
      </w:r>
    </w:p>
    <w:p w14:paraId="770294EA" w14:textId="59B17EC1" w:rsidR="00781010" w:rsidRDefault="00380305" w:rsidP="00F01ED6">
      <w:pPr>
        <w:pStyle w:val="ProductList-Body"/>
      </w:pPr>
      <w:r>
        <w:t>“</w:t>
      </w:r>
      <w:r w:rsidR="00781010">
        <w:rPr>
          <w:b/>
          <w:bCs/>
          <w:color w:val="00188F"/>
        </w:rPr>
        <w:t>Máximo de Minutos Disponíveis</w:t>
      </w:r>
      <w:r>
        <w:t>”</w:t>
      </w:r>
      <w:r w:rsidR="00781010">
        <w:t xml:space="preserve"> é o número total de minutos durante os quais um determinado recurso Defender EASM foi implementado pelo Cliente numa subscrição do Microsoft Azure durante um Período Aplicável.</w:t>
      </w:r>
    </w:p>
    <w:p w14:paraId="61FF4E80" w14:textId="11F7618E" w:rsidR="00781010" w:rsidRDefault="00380305" w:rsidP="00F01ED6">
      <w:pPr>
        <w:pStyle w:val="ProductList-Body"/>
      </w:pPr>
      <w:r>
        <w:t>“</w:t>
      </w:r>
      <w:r w:rsidR="00781010">
        <w:rPr>
          <w:b/>
          <w:bCs/>
          <w:color w:val="00188F"/>
        </w:rPr>
        <w:t>Período de Indisponibilidade</w:t>
      </w:r>
      <w:r>
        <w:t>”</w:t>
      </w:r>
      <w:r w:rsidR="00781010">
        <w:t xml:space="preserve"> é o número total de minutos dentro do Máximo de Minutos Disponíveis, durante os quais um recurso Defender EASM está indisponível. Um minuto será considerado indisponível para um determinado recurso Defender EASM se durante esse minuto não se registar qualquer operação de HTTP que devolva um Código de Sucesso.</w:t>
      </w:r>
    </w:p>
    <w:p w14:paraId="5A74F90E" w14:textId="390FE8F7" w:rsidR="00781010" w:rsidRDefault="00781010" w:rsidP="00F01ED6">
      <w:pPr>
        <w:pStyle w:val="ProductList-Body"/>
      </w:pPr>
      <w:r>
        <w:t xml:space="preserve">A </w:t>
      </w:r>
      <w:r w:rsidR="00380305">
        <w:t>“</w:t>
      </w:r>
      <w:r>
        <w:rPr>
          <w:b/>
          <w:bCs/>
          <w:color w:val="00188F"/>
        </w:rPr>
        <w:t>Percentagem de Disponibilidade para Consulta</w:t>
      </w:r>
      <w:r w:rsidR="00380305">
        <w:t>”</w:t>
      </w:r>
      <w:r>
        <w:t xml:space="preserve"> de um determinado recurso Defender EASM é calculada como o Máximo de Minutos Disponíveis menos o Período de Indisponibilidade, a dividir pelo Máximo de Minutos Disponíveis a multiplicar por 100.</w:t>
      </w:r>
    </w:p>
    <w:p w14:paraId="538C7A5C" w14:textId="08BF57FD" w:rsidR="00781010" w:rsidRDefault="00781010" w:rsidP="00F01ED6">
      <w:pPr>
        <w:pStyle w:val="ProductList-Body"/>
      </w:pPr>
      <w:r>
        <w:t>A Percentagem de Disponibilidade para Consulta é calculada utilizando a seguinte fórmula:</w:t>
      </w:r>
    </w:p>
    <w:p w14:paraId="57FD6F59" w14:textId="77777777" w:rsidR="00781010" w:rsidRPr="00EF7CF9" w:rsidRDefault="00781010" w:rsidP="00F01ED6">
      <w:pPr>
        <w:pStyle w:val="ProductList-Body"/>
      </w:pPr>
    </w:p>
    <w:p w14:paraId="30A59169" w14:textId="248E6986" w:rsidR="00781010"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A0ED6A0" w14:textId="77777777" w:rsidR="00781010" w:rsidRDefault="00781010" w:rsidP="00EC7E96">
      <w:pPr>
        <w:pStyle w:val="ProductList-Body"/>
        <w:keepNext/>
        <w:keepLines/>
      </w:pPr>
      <w:r>
        <w:t>Os seguintes Níveis de Serviço e Créditos de Serviço são aplicáveis à utilização do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EC7E96">
            <w:pPr>
              <w:pStyle w:val="ProductList-OfferingBody"/>
              <w:keepNext/>
              <w:keepLines/>
              <w:jc w:val="center"/>
              <w:rPr>
                <w:color w:val="FFFFFF" w:themeColor="background1"/>
              </w:rPr>
            </w:pPr>
            <w:r>
              <w:rPr>
                <w:color w:val="FFFFFF" w:themeColor="background1"/>
              </w:rPr>
              <w:t>Percentagem de Disponibilidade para Consulta</w:t>
            </w:r>
          </w:p>
        </w:tc>
        <w:tc>
          <w:tcPr>
            <w:tcW w:w="5400" w:type="dxa"/>
            <w:shd w:val="clear" w:color="auto" w:fill="0072C6"/>
          </w:tcPr>
          <w:p w14:paraId="18CAA572" w14:textId="77777777" w:rsidR="00781010" w:rsidRPr="00EF7CF9" w:rsidRDefault="00781010" w:rsidP="00EC7E96">
            <w:pPr>
              <w:pStyle w:val="ProductList-OfferingBody"/>
              <w:keepNext/>
              <w:keepLines/>
              <w:jc w:val="center"/>
              <w:rPr>
                <w:color w:val="FFFFFF" w:themeColor="background1"/>
              </w:rPr>
            </w:pPr>
            <w:r>
              <w:rPr>
                <w:color w:val="FFFFFF" w:themeColor="background1"/>
              </w:rPr>
              <w:t>Crédito de Serviço</w:t>
            </w:r>
          </w:p>
        </w:tc>
      </w:tr>
      <w:tr w:rsidR="00781010" w:rsidRPr="00B44CF9" w14:paraId="28A18A12" w14:textId="77777777" w:rsidTr="00277097">
        <w:tc>
          <w:tcPr>
            <w:tcW w:w="5400" w:type="dxa"/>
          </w:tcPr>
          <w:p w14:paraId="111B54CB" w14:textId="77777777" w:rsidR="00781010" w:rsidRPr="00EF7CF9" w:rsidRDefault="00781010" w:rsidP="00EC7E96">
            <w:pPr>
              <w:pStyle w:val="ProductList-OfferingBody"/>
              <w:keepNext/>
              <w:keepLines/>
              <w:jc w:val="center"/>
            </w:pPr>
            <w:r>
              <w:t>&lt; 99,9%</w:t>
            </w:r>
          </w:p>
        </w:tc>
        <w:tc>
          <w:tcPr>
            <w:tcW w:w="5400" w:type="dxa"/>
          </w:tcPr>
          <w:p w14:paraId="6090A89D" w14:textId="77777777" w:rsidR="00781010" w:rsidRPr="00EF7CF9" w:rsidRDefault="00781010" w:rsidP="00EC7E96">
            <w:pPr>
              <w:pStyle w:val="ProductList-OfferingBody"/>
              <w:keepNext/>
              <w:keepLines/>
              <w:jc w:val="center"/>
            </w:pPr>
            <w:r>
              <w:t>10%</w:t>
            </w:r>
          </w:p>
        </w:tc>
      </w:tr>
      <w:tr w:rsidR="00781010" w:rsidRPr="00B44CF9" w14:paraId="60F211CD" w14:textId="77777777" w:rsidTr="00277097">
        <w:tc>
          <w:tcPr>
            <w:tcW w:w="5400" w:type="dxa"/>
          </w:tcPr>
          <w:p w14:paraId="583A91C1" w14:textId="77777777" w:rsidR="00781010" w:rsidRPr="00EF7CF9" w:rsidRDefault="00781010" w:rsidP="00EC7E96">
            <w:pPr>
              <w:pStyle w:val="ProductList-OfferingBody"/>
              <w:keepNext/>
              <w:keepLines/>
              <w:jc w:val="center"/>
            </w:pPr>
            <w:r>
              <w:t>&lt; 99%</w:t>
            </w:r>
          </w:p>
        </w:tc>
        <w:tc>
          <w:tcPr>
            <w:tcW w:w="5400" w:type="dxa"/>
          </w:tcPr>
          <w:p w14:paraId="59F68250" w14:textId="77777777" w:rsidR="00781010" w:rsidRPr="00EF7CF9" w:rsidRDefault="00781010" w:rsidP="00EC7E96">
            <w:pPr>
              <w:pStyle w:val="ProductList-OfferingBody"/>
              <w:keepNext/>
              <w:keepLines/>
              <w:jc w:val="center"/>
            </w:pPr>
            <w:r>
              <w:t>25%</w:t>
            </w:r>
          </w:p>
        </w:tc>
      </w:tr>
    </w:tbl>
    <w:bookmarkStart w:id="220" w:name="_Toc524384537"/>
    <w:bookmarkStart w:id="221" w:name="_Toc52348999"/>
    <w:p w14:paraId="3099F3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3EC33DC" w14:textId="77777777" w:rsidR="00C66B25" w:rsidRPr="00EA5FB1" w:rsidRDefault="00C66B25" w:rsidP="00F01ED6">
      <w:pPr>
        <w:pStyle w:val="ProductList-Offering2Heading"/>
        <w:keepNext/>
        <w:tabs>
          <w:tab w:val="clear" w:pos="360"/>
          <w:tab w:val="clear" w:pos="720"/>
          <w:tab w:val="clear" w:pos="1080"/>
        </w:tabs>
        <w:outlineLvl w:val="2"/>
        <w:rPr>
          <w:lang w:val="fr-FR"/>
        </w:rPr>
      </w:pPr>
      <w:bookmarkStart w:id="222" w:name="_Toc214456805"/>
      <w:r>
        <w:t>Azure Dev Ops</w:t>
      </w:r>
      <w:bookmarkEnd w:id="220"/>
      <w:bookmarkEnd w:id="221"/>
      <w:bookmarkEnd w:id="222"/>
    </w:p>
    <w:p w14:paraId="578E5FA7" w14:textId="77777777" w:rsidR="00C66B25" w:rsidRPr="00EF7CF9" w:rsidRDefault="00C66B25" w:rsidP="00F01ED6">
      <w:pPr>
        <w:pStyle w:val="ProductList-Body"/>
        <w:rPr>
          <w:b/>
          <w:color w:val="00188F"/>
        </w:rPr>
      </w:pPr>
      <w:r>
        <w:rPr>
          <w:b/>
          <w:color w:val="00188F"/>
        </w:rPr>
        <w:t>Definições Adicionais</w:t>
      </w:r>
      <w:r w:rsidRPr="00473DD3">
        <w:rPr>
          <w:b/>
          <w:color w:val="00188F"/>
        </w:rPr>
        <w:t>:</w:t>
      </w:r>
    </w:p>
    <w:p w14:paraId="0BF8769E" w14:textId="12513CE0" w:rsidR="00C66B25" w:rsidRPr="00E80B8A" w:rsidRDefault="00380305" w:rsidP="00F01ED6">
      <w:pPr>
        <w:pStyle w:val="ProductList-Body"/>
        <w:spacing w:after="40"/>
        <w:jc w:val="both"/>
        <w:rPr>
          <w:spacing w:val="-2"/>
        </w:rPr>
      </w:pPr>
      <w:r>
        <w:rPr>
          <w:spacing w:val="-2"/>
        </w:rPr>
        <w:t>“</w:t>
      </w:r>
      <w:r w:rsidR="00C66B25" w:rsidRPr="00E80B8A">
        <w:rPr>
          <w:b/>
          <w:color w:val="00188F"/>
          <w:spacing w:val="-2"/>
        </w:rPr>
        <w:t>Pipelines do Azure</w:t>
      </w:r>
      <w:r>
        <w:rPr>
          <w:spacing w:val="-2"/>
        </w:rPr>
        <w:t>”</w:t>
      </w:r>
      <w:r w:rsidR="00C66B25" w:rsidRPr="00E80B8A">
        <w:rPr>
          <w:spacing w:val="-2"/>
        </w:rPr>
        <w:t xml:space="preserve"> é uma funcionalidade que permite aos clientes desenvolver e implementar as respetivas aplicações nos Serviços do Azure DevOps.</w:t>
      </w:r>
    </w:p>
    <w:p w14:paraId="55EB42EB" w14:textId="0DE51704" w:rsidR="00C66B25" w:rsidRDefault="00380305" w:rsidP="00F01ED6">
      <w:pPr>
        <w:pStyle w:val="ProductList-Body"/>
      </w:pPr>
      <w:r>
        <w:t>“</w:t>
      </w:r>
      <w:r w:rsidR="00C66B25">
        <w:rPr>
          <w:b/>
          <w:color w:val="00188F"/>
        </w:rPr>
        <w:t>Extensões Baseadas no Utilizador</w:t>
      </w:r>
      <w:r>
        <w:t>”</w:t>
      </w:r>
      <w:r w:rsidR="00C66B25">
        <w:t xml:space="preserve"> designa o conjunto de extensões dos Serviços do Azure DevOps publicadas pela Microsoft que são vendidas por utilizador através do Azure DevOps Marketplace.</w:t>
      </w:r>
    </w:p>
    <w:p w14:paraId="3D732210" w14:textId="3EA0F40B" w:rsidR="00C66B25" w:rsidRDefault="00380305" w:rsidP="00F01ED6">
      <w:pPr>
        <w:pStyle w:val="ProductList-Body"/>
      </w:pPr>
      <w:r>
        <w:t>“</w:t>
      </w:r>
      <w:r w:rsidR="00C66B25">
        <w:rPr>
          <w:b/>
          <w:color w:val="00188F"/>
        </w:rPr>
        <w:t>Utilizadores dos Serviços do Azure DevOps</w:t>
      </w:r>
      <w:r>
        <w:t>”</w:t>
      </w:r>
      <w:r w:rsidR="00C66B25">
        <w:t xml:space="preserve"> designa o conjunto de funções e funcionalidades à disposição de um utilizador numa conta de Serviços do Azure DevOps numa subscrição do Cliente. As funcionalidades e funções disponíveis são descritas no Web site do </w:t>
      </w:r>
      <w:r w:rsidR="00C66B25">
        <w:rPr>
          <w:rStyle w:val="Hyperlink"/>
        </w:rPr>
        <w:t>Azure DevOps</w:t>
      </w:r>
      <w:r w:rsidR="00C66B25">
        <w:t>.</w:t>
      </w:r>
    </w:p>
    <w:p w14:paraId="04EEA0D9" w14:textId="08B9315C" w:rsidR="00C66B25" w:rsidRPr="00ED4527" w:rsidRDefault="00EE6E3C" w:rsidP="00F01ED6">
      <w:pPr>
        <w:pStyle w:val="ProductList-Body"/>
        <w:spacing w:before="120"/>
        <w:rPr>
          <w:b/>
          <w:bCs/>
          <w:color w:val="00188F"/>
        </w:rPr>
      </w:pPr>
      <w:r>
        <w:rPr>
          <w:b/>
          <w:bCs/>
          <w:color w:val="00188F"/>
        </w:rPr>
        <w:t>Cálculo do Período de Disponibilidade e Níveis de Serviço para os Utilizadores e as Extensões Baseadas no Utilizador do Azure DevOps Services</w:t>
      </w:r>
    </w:p>
    <w:p w14:paraId="519D60EC" w14:textId="4BA8BCB2" w:rsidR="00C66B25" w:rsidRDefault="00380305" w:rsidP="00F01ED6">
      <w:pPr>
        <w:pStyle w:val="ProductList-Body"/>
      </w:pPr>
      <w:r>
        <w:t>“</w:t>
      </w:r>
      <w:r w:rsidR="00C66B25">
        <w:rPr>
          <w:b/>
          <w:color w:val="00188F"/>
        </w:rPr>
        <w:t>Minutos de Implementação</w:t>
      </w:r>
      <w:r>
        <w:t>”</w:t>
      </w:r>
      <w:r w:rsidR="00C66B25">
        <w:t xml:space="preserve"> designa o número total de minutos para os quais foi adquirida uma Extensão Baseada no Utilizador ou Utilizadores durante um Período Aplicável.</w:t>
      </w:r>
    </w:p>
    <w:p w14:paraId="1D9C3180" w14:textId="41E66E66" w:rsidR="00C66B25" w:rsidRPr="00EF7CF9" w:rsidRDefault="00380305" w:rsidP="00F01ED6">
      <w:pPr>
        <w:pStyle w:val="ProductList-Body"/>
      </w:pPr>
      <w:r>
        <w:t>“</w:t>
      </w:r>
      <w:r w:rsidR="00C66B25">
        <w:rPr>
          <w:b/>
          <w:color w:val="00188F"/>
        </w:rPr>
        <w:t>Máximo de Minutos Disponíveis</w:t>
      </w:r>
      <w:r>
        <w:t>”</w:t>
      </w:r>
      <w:r w:rsidR="00C66B25">
        <w:t xml:space="preserve"> designa todos os Minutos de Implementação em todas as Extensões Baseadas no Utilizador ou Utilizadores para</w:t>
      </w:r>
      <w:r w:rsidR="00896A38">
        <w:t> </w:t>
      </w:r>
      <w:r w:rsidR="00C66B25">
        <w:t>uma determinada subscrição do Microsoft Azure durante um Período Aplicável.</w:t>
      </w:r>
    </w:p>
    <w:p w14:paraId="0C23C755" w14:textId="0E7C530D" w:rsidR="00C66B25" w:rsidRPr="00EF7CF9" w:rsidRDefault="00380305" w:rsidP="00F01ED6">
      <w:pPr>
        <w:pStyle w:val="ProductList-Body"/>
      </w:pPr>
      <w:r>
        <w:t>“</w:t>
      </w:r>
      <w:r w:rsidR="00C66B25">
        <w:rPr>
          <w:b/>
          <w:color w:val="00188F"/>
        </w:rPr>
        <w:t>Período de Indisponibilidade</w:t>
      </w:r>
      <w:r>
        <w:t>”</w:t>
      </w:r>
      <w:r w:rsidR="00C66B25">
        <w:t xml:space="preserve"> designa o total de Minutos de Implementação, em todas as Extensões Baseadas no Utilizador ou Utilizadores para</w:t>
      </w:r>
      <w:r w:rsidR="00896A38">
        <w:t> </w:t>
      </w:r>
      <w:r w:rsidR="00C66B25">
        <w:t>determinada subscrição do Microsoft Azure, durante a qual o Serviço está indisponível. Um minuto é considerado indisponível para uma determinada Extensão Baseada no Utilizador ou Utilizadores se todos os pedidos de HTTP contínuos para executar operações, que não sejam operações pertencentes ao Azure Pipelines Services nesse minuto resultarem num Código de Erro ou se não devolverem uma resposta.</w:t>
      </w:r>
    </w:p>
    <w:p w14:paraId="53A2B476" w14:textId="11292FC1" w:rsidR="00C66B25" w:rsidRDefault="00AC48A7" w:rsidP="00F01ED6">
      <w:pPr>
        <w:pStyle w:val="ProductList-Body"/>
      </w:pPr>
      <w:r>
        <w:rPr>
          <w:b/>
          <w:color w:val="00188F"/>
        </w:rPr>
        <w:t>Percentagem de Período de Disponibilidade</w:t>
      </w:r>
      <w:r w:rsidRPr="00473DD3">
        <w:rPr>
          <w:b/>
          <w:color w:val="00188F"/>
        </w:rPr>
        <w:t>:</w:t>
      </w:r>
      <w:r>
        <w:t xml:space="preserve"> para as Extensões Baseadas no Utilizador ou Utilizadores do Azure DevOps Services é calculada como</w:t>
      </w:r>
      <w:r w:rsidR="00896A38">
        <w:t> </w:t>
      </w:r>
      <w:r>
        <w:t>o Máximo de Minutos Disponíveis menos o Período de Indisponibilidade a dividir pelo Máximo de Minutos Disponíveis num Período Aplicável</w:t>
      </w:r>
      <w:r w:rsidR="00896A38">
        <w:t> </w:t>
      </w:r>
      <w:r>
        <w:t>para uma determinada subscrição do Microsoft Azure.</w:t>
      </w:r>
    </w:p>
    <w:p w14:paraId="23F1EFA1" w14:textId="48F4EC62" w:rsidR="00C66B25" w:rsidRPr="00EF7CF9" w:rsidRDefault="00AC48A7" w:rsidP="00F01ED6">
      <w:pPr>
        <w:pStyle w:val="ProductList-Body"/>
      </w:pPr>
      <w:r>
        <w:t>A Percentagem de Período de Disponibilidade é representada pela seguinte fórmula:</w:t>
      </w:r>
    </w:p>
    <w:p w14:paraId="1382C863" w14:textId="77777777" w:rsidR="00C66B25" w:rsidRPr="00EF7CF9" w:rsidRDefault="00C66B25" w:rsidP="00F01ED6">
      <w:pPr>
        <w:pStyle w:val="ProductList-Body"/>
      </w:pPr>
    </w:p>
    <w:p w14:paraId="1B4E29BA" w14:textId="644198A9" w:rsidR="00C66B25"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0A37B0C" w14:textId="77777777" w:rsidR="00C66B25" w:rsidRDefault="00C66B25" w:rsidP="00F01ED6">
      <w:pPr>
        <w:pStyle w:val="ProductList-Body"/>
        <w:rPr>
          <w:rFonts w:eastAsiaTheme="minorEastAsia"/>
          <w:szCs w:val="18"/>
          <w:lang w:eastAsia="zh-TW"/>
        </w:rPr>
      </w:pPr>
      <w:r>
        <w:rPr>
          <w:rFonts w:eastAsiaTheme="minorEastAsia"/>
          <w:szCs w:val="18"/>
        </w:rPr>
        <w:lastRenderedPageBreak/>
        <w:t xml:space="preserve">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 Serviço Pipelines do Azure. </w:t>
      </w:r>
    </w:p>
    <w:p w14:paraId="3AB430DC" w14:textId="77777777" w:rsidR="00C66B25" w:rsidRPr="00A81A1C" w:rsidRDefault="00C66B25" w:rsidP="00F01ED6">
      <w:pPr>
        <w:pStyle w:val="ProductList-Body"/>
        <w:rPr>
          <w:b/>
          <w:color w:val="00188F"/>
          <w:sz w:val="12"/>
          <w:szCs w:val="12"/>
        </w:rPr>
      </w:pPr>
    </w:p>
    <w:p w14:paraId="2DC335EC" w14:textId="77777777" w:rsidR="00C66B25" w:rsidRPr="00EF7CF9" w:rsidRDefault="00C66B2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3BB7CB41" w14:textId="77777777" w:rsidR="00C66B25" w:rsidRPr="00EF7CF9" w:rsidRDefault="00C66B25" w:rsidP="00F01ED6">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F01ED6">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F01ED6">
            <w:pPr>
              <w:pStyle w:val="ProductList-OfferingBody"/>
              <w:keepNext/>
              <w:jc w:val="center"/>
            </w:pPr>
            <w:r>
              <w:t>25%</w:t>
            </w:r>
          </w:p>
        </w:tc>
      </w:tr>
    </w:tbl>
    <w:p w14:paraId="383C6DD9" w14:textId="3B1BB4D9" w:rsidR="00C66B25" w:rsidRPr="00ED4527" w:rsidRDefault="00EE6E3C" w:rsidP="00AE3327">
      <w:pPr>
        <w:pStyle w:val="ProductList-Body"/>
        <w:tabs>
          <w:tab w:val="clear" w:pos="360"/>
          <w:tab w:val="clear" w:pos="720"/>
          <w:tab w:val="clear" w:pos="1080"/>
        </w:tabs>
        <w:spacing w:before="120"/>
        <w:rPr>
          <w:b/>
          <w:bCs/>
          <w:color w:val="00188F"/>
        </w:rPr>
      </w:pPr>
      <w:bookmarkStart w:id="223" w:name="_Toc457821589"/>
      <w:bookmarkStart w:id="224" w:name="_Toc526859726"/>
      <w:bookmarkStart w:id="225" w:name="_Toc524384538"/>
      <w:bookmarkStart w:id="226" w:name="VisualStudioTeamServices_LoadTestService"/>
      <w:r>
        <w:rPr>
          <w:b/>
          <w:bCs/>
          <w:color w:val="00188F"/>
        </w:rPr>
        <w:t>Cálculo do Período de Disponibilidade e Níveis de Serviço para o Azure Pipelines</w:t>
      </w:r>
    </w:p>
    <w:p w14:paraId="014EED69" w14:textId="66CBE1CE" w:rsidR="00C66B25" w:rsidRPr="00ED4527" w:rsidRDefault="00380305" w:rsidP="00F01ED6">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designa o número total de minutos para os quais o Azure Pipelines Service pago foi ativado numa determinada subscrição do Microsoft Azure durante um Período Aplicável.</w:t>
      </w:r>
    </w:p>
    <w:p w14:paraId="4BF684E0" w14:textId="388FABFB" w:rsidR="00C66B25" w:rsidRPr="00ED4527" w:rsidRDefault="00380305" w:rsidP="00F01ED6">
      <w:pPr>
        <w:pStyle w:val="ProductList-Body"/>
        <w:rPr>
          <w:color w:val="000000" w:themeColor="text1"/>
        </w:rPr>
      </w:pPr>
      <w:r>
        <w:rPr>
          <w:color w:val="000000" w:themeColor="text1"/>
        </w:rPr>
        <w:t>“</w:t>
      </w:r>
      <w:r w:rsidR="00C66B25">
        <w:rPr>
          <w:b/>
          <w:bCs/>
          <w:color w:val="00188F"/>
        </w:rPr>
        <w:t>Período de Indisponibilidade</w:t>
      </w:r>
      <w:r>
        <w:rPr>
          <w:color w:val="000000" w:themeColor="text1"/>
        </w:rPr>
        <w:t>”</w:t>
      </w:r>
      <w:r w:rsidR="00C66B25">
        <w:rPr>
          <w:color w:val="000000" w:themeColor="text1"/>
        </w:rPr>
        <w:t xml:space="preserve"> designa o total de minutos acumulados numa determinada subscrição do Microsoft Azure, no qual o Azure Pipelines Service está indisponível. Um minuto é considerado indisponível se todos os pedidos de HTTP contínuos para o Azure Pipelines Service executar operações iniciadas pelo Cliente nesse minuto resultarem num Código de Erro ou se não devolverem uma resposta.</w:t>
      </w:r>
    </w:p>
    <w:p w14:paraId="4B5453E7" w14:textId="2360ABC9" w:rsidR="00C66B25" w:rsidRPr="00E80B8A" w:rsidRDefault="00C66B25" w:rsidP="00F01ED6">
      <w:pPr>
        <w:pStyle w:val="ProductList-Body"/>
        <w:tabs>
          <w:tab w:val="clear" w:pos="360"/>
          <w:tab w:val="clear" w:pos="720"/>
          <w:tab w:val="clear" w:pos="1080"/>
        </w:tabs>
        <w:rPr>
          <w:color w:val="000000" w:themeColor="text1"/>
          <w:spacing w:val="-2"/>
        </w:rPr>
      </w:pPr>
      <w:r w:rsidRPr="00E80B8A">
        <w:rPr>
          <w:spacing w:val="-2"/>
        </w:rPr>
        <w:t xml:space="preserve">A </w:t>
      </w:r>
      <w:r w:rsidR="00380305">
        <w:rPr>
          <w:color w:val="000000" w:themeColor="text1"/>
          <w:spacing w:val="-2"/>
        </w:rPr>
        <w:t>“</w:t>
      </w:r>
      <w:r w:rsidRPr="00E80B8A">
        <w:rPr>
          <w:b/>
          <w:bCs/>
          <w:color w:val="00188F"/>
          <w:spacing w:val="-2"/>
        </w:rPr>
        <w:t>Percentagem de Período de Disponibilidade</w:t>
      </w:r>
      <w:r w:rsidR="00380305">
        <w:rPr>
          <w:color w:val="000000" w:themeColor="text1"/>
          <w:spacing w:val="-2"/>
        </w:rPr>
        <w:t>”</w:t>
      </w:r>
      <w:r w:rsidRPr="00E80B8A">
        <w:rPr>
          <w:color w:val="000000" w:themeColor="text1"/>
          <w:spacing w:val="-2"/>
        </w:rPr>
        <w:t xml:space="preserve"> para o Azure Pipelines Service é calculada como o Máximo de Minutos Disponíveis menos o Período de Indisponibilidade a dividir pelo Máximo de Minutos Disponíveis num Período Aplicável para uma determinada subscrição do Microsoft Azure. </w:t>
      </w:r>
    </w:p>
    <w:p w14:paraId="7D2391A4" w14:textId="55984207" w:rsidR="00C66B25"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589740C7" w14:textId="77777777" w:rsidR="00C66B25" w:rsidRPr="00AE3327" w:rsidRDefault="00C66B25" w:rsidP="00F01ED6">
      <w:pPr>
        <w:pStyle w:val="ProductList-Body"/>
        <w:tabs>
          <w:tab w:val="clear" w:pos="360"/>
          <w:tab w:val="clear" w:pos="720"/>
          <w:tab w:val="clear" w:pos="1080"/>
        </w:tabs>
        <w:rPr>
          <w:color w:val="000000" w:themeColor="text1"/>
          <w:sz w:val="12"/>
          <w:szCs w:val="12"/>
        </w:rPr>
      </w:pPr>
    </w:p>
    <w:p w14:paraId="3D9D0A67" w14:textId="607C58EE" w:rsidR="00C66B25"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CA4F1C6" w14:textId="77777777" w:rsidR="00C66B25" w:rsidRPr="00EF7CF9" w:rsidRDefault="00C66B25" w:rsidP="00D56684">
      <w:pPr>
        <w:pStyle w:val="ProductList-Body"/>
        <w:keepNext/>
        <w:keepLines/>
      </w:pPr>
      <w:r>
        <w:rPr>
          <w:b/>
          <w:color w:val="00188F"/>
        </w:rPr>
        <w:t>Os seguintes Níveis de Serviço e Créditos de Serviço são aplicáveis à utilização que o Cliente faz do Serviço Pipelines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D56684">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F2CFA2F" w14:textId="77777777" w:rsidR="00C66B25" w:rsidRPr="00EF7CF9" w:rsidRDefault="00C66B25" w:rsidP="00D56684">
            <w:pPr>
              <w:pStyle w:val="ProductList-OfferingBody"/>
              <w:keepNext/>
              <w:keepLines/>
              <w:jc w:val="center"/>
              <w:rPr>
                <w:color w:val="FFFFFF" w:themeColor="background1"/>
              </w:rPr>
            </w:pPr>
            <w:r>
              <w:rPr>
                <w:color w:val="FFFFFF" w:themeColor="background1"/>
              </w:rPr>
              <w:t>Crédito de Serviço</w:t>
            </w:r>
          </w:p>
        </w:tc>
      </w:tr>
      <w:tr w:rsidR="00C66B25" w:rsidRPr="00B44CF9" w14:paraId="4C6AEF21" w14:textId="77777777" w:rsidTr="00277097">
        <w:tc>
          <w:tcPr>
            <w:tcW w:w="5400" w:type="dxa"/>
          </w:tcPr>
          <w:p w14:paraId="07891EB0" w14:textId="77777777" w:rsidR="00C66B25" w:rsidRPr="00EF7CF9" w:rsidRDefault="00C66B25" w:rsidP="00D56684">
            <w:pPr>
              <w:pStyle w:val="ProductList-OfferingBody"/>
              <w:keepNext/>
              <w:keepLines/>
              <w:jc w:val="center"/>
            </w:pPr>
            <w:r>
              <w:t>&lt; 99,9%</w:t>
            </w:r>
          </w:p>
        </w:tc>
        <w:tc>
          <w:tcPr>
            <w:tcW w:w="5400" w:type="dxa"/>
          </w:tcPr>
          <w:p w14:paraId="326AF5F8" w14:textId="77777777" w:rsidR="00C66B25" w:rsidRPr="00EF7CF9" w:rsidRDefault="00C66B25" w:rsidP="00D56684">
            <w:pPr>
              <w:pStyle w:val="ProductList-OfferingBody"/>
              <w:keepNext/>
              <w:keepLines/>
              <w:jc w:val="center"/>
            </w:pPr>
            <w:r>
              <w:t>10%</w:t>
            </w:r>
          </w:p>
        </w:tc>
      </w:tr>
      <w:tr w:rsidR="00C66B25" w:rsidRPr="00B44CF9" w14:paraId="755CE143" w14:textId="77777777" w:rsidTr="00277097">
        <w:tc>
          <w:tcPr>
            <w:tcW w:w="5400" w:type="dxa"/>
          </w:tcPr>
          <w:p w14:paraId="3D649C21" w14:textId="77777777" w:rsidR="00C66B25" w:rsidRPr="00EF7CF9" w:rsidRDefault="00C66B25" w:rsidP="00D56684">
            <w:pPr>
              <w:pStyle w:val="ProductList-OfferingBody"/>
              <w:keepNext/>
              <w:keepLines/>
              <w:jc w:val="center"/>
            </w:pPr>
            <w:r>
              <w:t>&lt; 99%</w:t>
            </w:r>
          </w:p>
        </w:tc>
        <w:tc>
          <w:tcPr>
            <w:tcW w:w="5400" w:type="dxa"/>
          </w:tcPr>
          <w:p w14:paraId="57C68158" w14:textId="77777777" w:rsidR="00C66B25" w:rsidRPr="00EF7CF9" w:rsidRDefault="00C66B25" w:rsidP="00D56684">
            <w:pPr>
              <w:pStyle w:val="ProductList-OfferingBody"/>
              <w:keepNext/>
              <w:keepLines/>
              <w:jc w:val="center"/>
            </w:pPr>
            <w:r>
              <w:t>25%</w:t>
            </w:r>
          </w:p>
        </w:tc>
      </w:tr>
    </w:tbl>
    <w:bookmarkEnd w:id="223"/>
    <w:bookmarkEnd w:id="224"/>
    <w:bookmarkEnd w:id="225"/>
    <w:bookmarkEnd w:id="226"/>
    <w:p w14:paraId="1996288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8C1E041" w14:textId="1FD25458" w:rsidR="00DD29AD" w:rsidRPr="00EA5FB1" w:rsidRDefault="000E3C0B" w:rsidP="00F01ED6">
      <w:pPr>
        <w:pStyle w:val="ProductList-Offering2Heading"/>
        <w:keepNext/>
        <w:tabs>
          <w:tab w:val="clear" w:pos="360"/>
          <w:tab w:val="clear" w:pos="720"/>
          <w:tab w:val="clear" w:pos="1080"/>
        </w:tabs>
        <w:outlineLvl w:val="2"/>
        <w:rPr>
          <w:lang w:val="fr-FR"/>
        </w:rPr>
      </w:pPr>
      <w:bookmarkStart w:id="227" w:name="_Toc214456806"/>
      <w:r>
        <w:t>Microsoft Dev Box</w:t>
      </w:r>
      <w:bookmarkEnd w:id="227"/>
    </w:p>
    <w:p w14:paraId="70C5163F" w14:textId="77777777" w:rsidR="00DD29AD" w:rsidRDefault="00DD29AD" w:rsidP="00F01ED6">
      <w:pPr>
        <w:pStyle w:val="ProductList-Body"/>
      </w:pPr>
      <w:r>
        <w:rPr>
          <w:b/>
          <w:color w:val="00188F"/>
        </w:rPr>
        <w:t>Definições Adicionais</w:t>
      </w:r>
      <w:r w:rsidRPr="00473DD3">
        <w:rPr>
          <w:b/>
          <w:color w:val="00188F"/>
        </w:rPr>
        <w:t>:</w:t>
      </w:r>
    </w:p>
    <w:p w14:paraId="26431222" w14:textId="0CD74D1D" w:rsidR="009D7DA3" w:rsidRDefault="00380305" w:rsidP="00F01ED6">
      <w:pPr>
        <w:pStyle w:val="ProductList-Body"/>
      </w:pPr>
      <w:r w:rsidRPr="00380305">
        <w:t>“</w:t>
      </w:r>
      <w:r w:rsidR="009D7DA3">
        <w:rPr>
          <w:b/>
          <w:bCs/>
          <w:color w:val="00188F"/>
        </w:rPr>
        <w:t>Dev Box</w:t>
      </w:r>
      <w:r w:rsidRPr="00380305">
        <w:t>”</w:t>
      </w:r>
      <w:r w:rsidR="009D7DA3">
        <w:rPr>
          <w:b/>
          <w:bCs/>
          <w:color w:val="00188F"/>
        </w:rPr>
        <w:t xml:space="preserve"> </w:t>
      </w:r>
      <w:r w:rsidR="009D7DA3" w:rsidRPr="00380305">
        <w:t xml:space="preserve">designa </w:t>
      </w:r>
      <w:r w:rsidR="009D7DA3">
        <w:t>a instância específica do Microsoft Dev Box.</w:t>
      </w:r>
    </w:p>
    <w:p w14:paraId="5E7314A0" w14:textId="1398EF22" w:rsidR="00AB71EC" w:rsidRDefault="00380305" w:rsidP="00F01ED6">
      <w:pPr>
        <w:pStyle w:val="ProductList-Body"/>
      </w:pPr>
      <w:r w:rsidRPr="00380305">
        <w:t>“</w:t>
      </w:r>
      <w:r w:rsidR="00AB71EC">
        <w:rPr>
          <w:b/>
          <w:bCs/>
          <w:color w:val="00188F"/>
        </w:rPr>
        <w:t>Minutos no Período Aplicável</w:t>
      </w:r>
      <w:r w:rsidRPr="00380305">
        <w:t>”</w:t>
      </w:r>
      <w:r w:rsidR="00AB71EC">
        <w:rPr>
          <w:b/>
          <w:bCs/>
          <w:color w:val="00188F"/>
        </w:rPr>
        <w:t xml:space="preserve"> </w:t>
      </w:r>
      <w:r w:rsidR="00AB71EC" w:rsidRPr="00380305">
        <w:t xml:space="preserve">designa </w:t>
      </w:r>
      <w:r w:rsidR="00AB71EC">
        <w:t>o número total de minutos num determinado Período Aplicável.</w:t>
      </w:r>
    </w:p>
    <w:p w14:paraId="7DB28583" w14:textId="0A9D9C1F" w:rsidR="005923D3" w:rsidRDefault="00380305" w:rsidP="00F01ED6">
      <w:pPr>
        <w:pStyle w:val="ProductList-Body"/>
      </w:pPr>
      <w:r w:rsidRPr="00380305">
        <w:t>“</w:t>
      </w:r>
      <w:r w:rsidR="005923D3">
        <w:rPr>
          <w:b/>
          <w:bCs/>
          <w:color w:val="00188F"/>
        </w:rPr>
        <w:t>Período de Indisponibilidade</w:t>
      </w:r>
      <w:r w:rsidRPr="00380305">
        <w:t>”</w:t>
      </w:r>
      <w:r w:rsidR="005923D3">
        <w:rPr>
          <w:b/>
          <w:bCs/>
          <w:color w:val="00188F"/>
        </w:rPr>
        <w:t xml:space="preserve"> </w:t>
      </w:r>
      <w:r w:rsidR="005923D3" w:rsidRPr="00380305">
        <w:t>é</w:t>
      </w:r>
      <w:r w:rsidR="005923D3">
        <w:t xml:space="preserve"> medido em minutos, o período durante o qual todas as tentativas de ligação por um utilizador específico a um Dev Box específico não tiverem êxito, excluindo qualquer um dos seguintes tipos de falhas:</w:t>
      </w:r>
    </w:p>
    <w:p w14:paraId="44B8E501" w14:textId="77777777" w:rsidR="005923D3" w:rsidRDefault="005923D3" w:rsidP="00F01ED6">
      <w:pPr>
        <w:pStyle w:val="ProductList-Body"/>
        <w:numPr>
          <w:ilvl w:val="0"/>
          <w:numId w:val="36"/>
        </w:numPr>
      </w:pPr>
      <w:r>
        <w:t>As falhas resultantes de o Dev Box estar num estado inoperável não relacionado com a infraestrutura do Azure subjacente (por exemplo, sistema operativo, configuração do sistema operativo ou configuração incorreta ou danificada); e</w:t>
      </w:r>
    </w:p>
    <w:p w14:paraId="04363F4B" w14:textId="77777777" w:rsidR="005923D3" w:rsidRDefault="005923D3" w:rsidP="00F01ED6">
      <w:pPr>
        <w:pStyle w:val="ProductList-Body"/>
        <w:numPr>
          <w:ilvl w:val="0"/>
          <w:numId w:val="36"/>
        </w:numPr>
      </w:pPr>
      <w:r>
        <w:t>Falha resultante de uma aplicação ou outro software instalado no Dev Box.</w:t>
      </w:r>
    </w:p>
    <w:p w14:paraId="1D5AED2E" w14:textId="77777777" w:rsidR="00AB71EC" w:rsidRDefault="00AB71EC" w:rsidP="00F01ED6">
      <w:pPr>
        <w:pStyle w:val="ProductList-Body"/>
      </w:pPr>
    </w:p>
    <w:p w14:paraId="30377E18" w14:textId="16ACAE44" w:rsidR="005273EB" w:rsidRDefault="005273EB" w:rsidP="00F01ED6">
      <w:pPr>
        <w:pStyle w:val="ProductList-Body"/>
      </w:pPr>
      <w:r>
        <w:t xml:space="preserve">A </w:t>
      </w:r>
      <w:r w:rsidR="00380305" w:rsidRPr="00380305">
        <w:t>“</w:t>
      </w:r>
      <w:r>
        <w:rPr>
          <w:b/>
          <w:bCs/>
          <w:color w:val="00188F"/>
        </w:rPr>
        <w:t>Percentagem de Período de Disponibilidade Por Dev Box</w:t>
      </w:r>
      <w:r w:rsidR="00380305">
        <w:t>”</w:t>
      </w:r>
      <w:r>
        <w:t xml:space="preserve"> é calculada ao subtrair de 100% a percentagem de Minutos no Período Aplicável em</w:t>
      </w:r>
      <w:r w:rsidR="00DE29C2">
        <w:t> </w:t>
      </w:r>
      <w:r>
        <w:t>que o Dev Box teve um Período de Indisponibilidade.</w:t>
      </w:r>
    </w:p>
    <w:p w14:paraId="57443AFA" w14:textId="5CD6A634" w:rsidR="005149F7" w:rsidRDefault="005149F7" w:rsidP="00F01ED6">
      <w:pPr>
        <w:pStyle w:val="ProductList-Body"/>
      </w:pPr>
      <w:r>
        <w:t>A Percentagem de Período de Disponibilidade Por Dev Box é calculada através da seguinte fórmula:</w:t>
      </w:r>
    </w:p>
    <w:p w14:paraId="3EF93F85" w14:textId="77777777" w:rsidR="00C91F92" w:rsidRDefault="00C91F92" w:rsidP="00F01ED6">
      <w:pPr>
        <w:pStyle w:val="ProductList-Body"/>
      </w:pPr>
    </w:p>
    <w:p w14:paraId="7B069CB1" w14:textId="6BA2D822" w:rsidR="00C91F92" w:rsidRPr="00F01ED6" w:rsidRDefault="00E80B8A" w:rsidP="00F01ED6">
      <w:pPr>
        <w:spacing w:line="240" w:lineRule="auto"/>
        <w:jc w:val="both"/>
        <w:rPr>
          <w:sz w:val="18"/>
          <w:szCs w:val="18"/>
        </w:rPr>
      </w:pPr>
      <m:oMathPara>
        <m:oMath>
          <m:r>
            <w:rPr>
              <w:rFonts w:ascii="Cambria Math" w:hAnsi="Cambria Math"/>
              <w:sz w:val="18"/>
              <w:szCs w:val="18"/>
            </w:rPr>
            <m:t xml:space="preserve">% </m:t>
          </m:r>
          <m:r>
            <m:rPr>
              <m:nor/>
            </m:rPr>
            <w:rPr>
              <w:rFonts w:ascii="Cambria Math" w:hAnsi="Cambria Math"/>
              <w:i/>
              <w:iCs/>
              <w:sz w:val="18"/>
              <w:szCs w:val="18"/>
            </w:rPr>
            <m:t>de Período de Disponibilidade Por Dev Box</m:t>
          </m:r>
          <m:r>
            <w:rPr>
              <w:rFonts w:ascii="Cambria Math" w:hAnsi="Cambria Math"/>
              <w:sz w:val="18"/>
              <w:szCs w:val="18"/>
            </w:rPr>
            <m:t> =</m:t>
          </m:r>
          <m:f>
            <m:fPr>
              <m:ctrlPr>
                <w:rPr>
                  <w:rFonts w:ascii="Cambria Math" w:hAnsi="Cambria Math"/>
                  <w:sz w:val="18"/>
                  <w:szCs w:val="18"/>
                </w:rPr>
              </m:ctrlPr>
            </m:fPr>
            <m:num>
              <m:r>
                <m:rPr>
                  <m:nor/>
                </m:rPr>
                <w:rPr>
                  <w:rFonts w:ascii="Cambria Math" w:hAnsi="Cambria Math"/>
                  <w:i/>
                  <w:iCs/>
                  <w:sz w:val="18"/>
                  <w:szCs w:val="18"/>
                </w:rPr>
                <m:t>(Minutos no Período Aplicável - Período de Indisponibilidade)</m:t>
              </m:r>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Pr="00E80B8A" w:rsidRDefault="00EE4264" w:rsidP="00F01ED6">
      <w:pPr>
        <w:pStyle w:val="ProductList-Body"/>
        <w:tabs>
          <w:tab w:val="clear" w:pos="360"/>
        </w:tabs>
        <w:rPr>
          <w:spacing w:val="-3"/>
        </w:rPr>
      </w:pPr>
      <w:r w:rsidRPr="00E80B8A">
        <w:rPr>
          <w:b/>
          <w:bCs/>
          <w:color w:val="00188F"/>
          <w:spacing w:val="-3"/>
        </w:rPr>
        <w:t>Crédito de Serviço Por Dev Box</w:t>
      </w:r>
      <w:r w:rsidRPr="00473DD3">
        <w:rPr>
          <w:b/>
          <w:bCs/>
          <w:color w:val="00188F"/>
          <w:spacing w:val="-3"/>
        </w:rPr>
        <w:t>:</w:t>
      </w:r>
      <w:r w:rsidRPr="00E80B8A">
        <w:rPr>
          <w:spacing w:val="-3"/>
        </w:rPr>
        <w:t xml:space="preserve"> Os seguintes Níveis de Serviço e Créditos de Serviço são aplicáveis à utilização que o Cliente faz do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D2226A">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F01ED6">
            <w:pPr>
              <w:pStyle w:val="ProductList-OfferingBody"/>
              <w:jc w:val="center"/>
              <w:rPr>
                <w:color w:val="FFFFFF" w:themeColor="background1"/>
              </w:rPr>
            </w:pPr>
            <w:r>
              <w:rPr>
                <w:color w:val="FFFFFF" w:themeColor="background1"/>
              </w:rPr>
              <w:t>Percentagem de Período de Disponibilidade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F01ED6">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F01ED6">
            <w:pPr>
              <w:pStyle w:val="ProductList-OfferingBody"/>
              <w:jc w:val="center"/>
            </w:pPr>
            <w:r>
              <w:t>10%</w:t>
            </w:r>
          </w:p>
        </w:tc>
      </w:tr>
      <w:tr w:rsidR="00CF7A47" w14:paraId="46F1CA46" w14:textId="77777777" w:rsidTr="00D2226A">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F01ED6">
            <w:pPr>
              <w:pStyle w:val="ProductList-OfferingBody"/>
              <w:keepNext/>
              <w:jc w:val="center"/>
            </w:pPr>
            <w:r>
              <w:t>25%</w:t>
            </w:r>
          </w:p>
        </w:tc>
      </w:tr>
      <w:tr w:rsidR="00CF7A47" w14:paraId="4C10F3EF"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F01ED6">
            <w:pPr>
              <w:pStyle w:val="ProductList-OfferingBody"/>
              <w:keepNext/>
              <w:jc w:val="center"/>
            </w:pPr>
            <w:r>
              <w:t>100%</w:t>
            </w:r>
          </w:p>
        </w:tc>
      </w:tr>
    </w:tbl>
    <w:p w14:paraId="04F4896A" w14:textId="20AA2C2F"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F4D031" w14:textId="512AAD83" w:rsidR="005C061C" w:rsidRPr="005C061C" w:rsidRDefault="005C061C" w:rsidP="00D2226A">
      <w:pPr>
        <w:pStyle w:val="ProductList-Offering2Heading"/>
        <w:keepNext/>
        <w:tabs>
          <w:tab w:val="clear" w:pos="360"/>
          <w:tab w:val="clear" w:pos="720"/>
          <w:tab w:val="clear" w:pos="1080"/>
        </w:tabs>
        <w:outlineLvl w:val="2"/>
        <w:rPr>
          <w:lang w:val="fr-FR"/>
        </w:rPr>
      </w:pPr>
      <w:bookmarkStart w:id="228" w:name="_Toc214456807"/>
      <w:r>
        <w:lastRenderedPageBreak/>
        <w:t>Azure Digital Twins</w:t>
      </w:r>
      <w:bookmarkEnd w:id="228"/>
    </w:p>
    <w:p w14:paraId="13E3D280" w14:textId="77777777" w:rsidR="005C061C" w:rsidRPr="005C061C" w:rsidRDefault="005C061C" w:rsidP="00F01ED6">
      <w:pPr>
        <w:pStyle w:val="ProductList-Body"/>
        <w:keepNext/>
        <w:keepLines/>
        <w:rPr>
          <w:b/>
          <w:bCs/>
          <w:color w:val="00188F"/>
        </w:rPr>
      </w:pPr>
      <w:r>
        <w:rPr>
          <w:b/>
          <w:bCs/>
          <w:color w:val="00188F"/>
        </w:rPr>
        <w:t>Definições Adicionais</w:t>
      </w:r>
    </w:p>
    <w:p w14:paraId="260F4527" w14:textId="1737E9FB" w:rsidR="005C061C" w:rsidRDefault="00380305" w:rsidP="00F01ED6">
      <w:pPr>
        <w:pStyle w:val="ProductList-Body"/>
        <w:keepNext/>
        <w:keepLines/>
      </w:pPr>
      <w:r>
        <w:t>“</w:t>
      </w:r>
      <w:r w:rsidR="005C061C">
        <w:rPr>
          <w:b/>
          <w:bCs/>
          <w:color w:val="00188F"/>
        </w:rPr>
        <w:t>Mensagem</w:t>
      </w:r>
      <w:r>
        <w:t>”</w:t>
      </w:r>
      <w:r w:rsidR="005C061C">
        <w:t xml:space="preserve"> designa qualquer evento enviado por uma instância do Azure Digital Twins implementada num serviço de ponto final, como o Hub de</w:t>
      </w:r>
      <w:r w:rsidR="00F3017D">
        <w:t> </w:t>
      </w:r>
      <w:r w:rsidR="005C061C">
        <w:t>Eventos, a Grelha de Eventos e o Service Bus.</w:t>
      </w:r>
    </w:p>
    <w:p w14:paraId="5926A16D" w14:textId="3864E20D" w:rsidR="005C061C" w:rsidRDefault="00380305" w:rsidP="00F01ED6">
      <w:pPr>
        <w:pStyle w:val="ProductList-Body"/>
        <w:keepNext/>
        <w:keepLines/>
      </w:pPr>
      <w:r>
        <w:t>“</w:t>
      </w:r>
      <w:r w:rsidR="005C061C">
        <w:rPr>
          <w:b/>
          <w:bCs/>
          <w:color w:val="00188F"/>
        </w:rPr>
        <w:t>Operações de API</w:t>
      </w:r>
      <w:r>
        <w:t>”</w:t>
      </w:r>
      <w:r w:rsidR="005C061C">
        <w:t xml:space="preserve"> designa as ações de leitura, escrita, atualização e eliminação, entre outras, executadas em modelos e duplos digitais, incluindo as consultas.</w:t>
      </w:r>
    </w:p>
    <w:p w14:paraId="6CC377C8" w14:textId="585CC3EC" w:rsidR="005C061C" w:rsidRPr="005C061C" w:rsidRDefault="00EE6E3C" w:rsidP="00F01ED6">
      <w:pPr>
        <w:pStyle w:val="ProductList-Body"/>
        <w:spacing w:before="120"/>
        <w:rPr>
          <w:b/>
          <w:bCs/>
          <w:color w:val="00188F"/>
        </w:rPr>
      </w:pPr>
      <w:r>
        <w:rPr>
          <w:b/>
          <w:bCs/>
          <w:color w:val="00188F"/>
        </w:rPr>
        <w:t>Cálculo do Período de Disponibilidade e Níveis de Serviço</w:t>
      </w:r>
    </w:p>
    <w:p w14:paraId="21D71404" w14:textId="1437EB62" w:rsidR="005C061C" w:rsidRDefault="00380305" w:rsidP="00F01ED6">
      <w:pPr>
        <w:pStyle w:val="ProductList-Body"/>
      </w:pPr>
      <w:r>
        <w:t>“</w:t>
      </w:r>
      <w:r w:rsidR="005C061C">
        <w:rPr>
          <w:b/>
          <w:bCs/>
          <w:color w:val="00188F"/>
        </w:rPr>
        <w:t>Minutos de Implementação</w:t>
      </w:r>
      <w:r>
        <w:t>”</w:t>
      </w:r>
      <w:r w:rsidR="005C061C">
        <w:t xml:space="preserve"> designa o número total de minutos durante os quais uma determinada instância do Azure Digital Twins foi implementada no Azure durante um Período Aplicável.</w:t>
      </w:r>
    </w:p>
    <w:p w14:paraId="3359A4D2" w14:textId="7E2D08E6" w:rsidR="005C061C" w:rsidRDefault="00380305" w:rsidP="00F01ED6">
      <w:pPr>
        <w:pStyle w:val="ProductList-Body"/>
      </w:pPr>
      <w:r>
        <w:t>“</w:t>
      </w:r>
      <w:r w:rsidR="005C061C">
        <w:rPr>
          <w:b/>
          <w:bCs/>
          <w:color w:val="00188F"/>
        </w:rPr>
        <w:t>Máximo de Minutos Disponíveis</w:t>
      </w:r>
      <w:r>
        <w:t>”</w:t>
      </w:r>
      <w:r w:rsidR="005C061C">
        <w:t xml:space="preserve"> designa a soma de todos os Minutos de Implementação em todas as instâncias do Azure Digital Twins implementadas pelo Cliente numa determinada subscrição do Azure durante um Período Aplicável.</w:t>
      </w:r>
    </w:p>
    <w:p w14:paraId="65F63DE3" w14:textId="1FE4ACDD" w:rsidR="005C061C" w:rsidRPr="00E80B8A" w:rsidRDefault="00380305" w:rsidP="00F01ED6">
      <w:pPr>
        <w:pStyle w:val="ProductList-Body"/>
        <w:rPr>
          <w:spacing w:val="-2"/>
        </w:rPr>
      </w:pPr>
      <w:r>
        <w:rPr>
          <w:spacing w:val="-2"/>
        </w:rPr>
        <w:t>“</w:t>
      </w:r>
      <w:r w:rsidR="005C061C" w:rsidRPr="00E80B8A">
        <w:rPr>
          <w:b/>
          <w:bCs/>
          <w:color w:val="00188F"/>
          <w:spacing w:val="-2"/>
        </w:rPr>
        <w:t>Período de Indisponibilidade</w:t>
      </w:r>
      <w:r>
        <w:rPr>
          <w:spacing w:val="-2"/>
        </w:rPr>
        <w:t>”</w:t>
      </w:r>
      <w:r w:rsidR="005C061C" w:rsidRPr="00E80B8A">
        <w:rPr>
          <w:spacing w:val="-2"/>
        </w:rPr>
        <w:t xml:space="preserve"> designa o total de Minutos de Implementação acumulados em todos os Azure Digital Twins implementados numa determinada subscrição do Azure durante os quais a instância do Azure Digital Twins está indisponível. Um minuto é considerado indisponível para uma</w:t>
      </w:r>
      <w:r w:rsidR="00836106">
        <w:rPr>
          <w:spacing w:val="-2"/>
        </w:rPr>
        <w:t> </w:t>
      </w:r>
      <w:r w:rsidR="005C061C" w:rsidRPr="00E80B8A">
        <w:rPr>
          <w:spacing w:val="-2"/>
        </w:rPr>
        <w:t>determinada instância do Azure Digital Twins se todas as tentativas contínuas para enviar Mensagens ou executar Operações de API na instância do Azure Digital Twins durante esse minuto devolverem um Código de Erro ou não resultarem num Código de Êxito no prazo de cinco minutos.</w:t>
      </w:r>
    </w:p>
    <w:p w14:paraId="509F5CE6" w14:textId="29734CE1" w:rsidR="005C061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177800C6" w14:textId="77777777" w:rsidR="005C061C" w:rsidRPr="00ED4527" w:rsidRDefault="005C061C" w:rsidP="00F01ED6">
      <w:pPr>
        <w:pStyle w:val="ProductList-Body"/>
        <w:tabs>
          <w:tab w:val="clear" w:pos="360"/>
          <w:tab w:val="clear" w:pos="720"/>
          <w:tab w:val="clear" w:pos="1080"/>
        </w:tabs>
        <w:rPr>
          <w:color w:val="000000" w:themeColor="text1"/>
        </w:rPr>
      </w:pPr>
    </w:p>
    <w:p w14:paraId="71C25E21" w14:textId="0D5376AD" w:rsidR="005C061C"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3A3969" w14:textId="77777777" w:rsidR="005C061C" w:rsidRPr="005C061C" w:rsidRDefault="005C061C" w:rsidP="00844254">
      <w:pPr>
        <w:pStyle w:val="ProductList-Body"/>
        <w:rPr>
          <w:b/>
          <w:bCs/>
          <w:color w:val="00188F"/>
        </w:rPr>
      </w:pPr>
      <w:r>
        <w:rPr>
          <w:b/>
          <w:bCs/>
          <w:color w:val="00188F"/>
        </w:rPr>
        <w:t>Os seguintes Níveis de Serviço e Créditos de Serviço são aplicáveis à utilização dos Azure Digital Twins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F14ACF">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F3B44BC" w14:textId="77777777" w:rsidR="005C061C" w:rsidRPr="00EF7CF9" w:rsidRDefault="005C061C" w:rsidP="00F14ACF">
            <w:pPr>
              <w:pStyle w:val="ProductList-OfferingBody"/>
              <w:keepNext/>
              <w:keepLines/>
              <w:jc w:val="center"/>
              <w:rPr>
                <w:color w:val="FFFFFF" w:themeColor="background1"/>
              </w:rPr>
            </w:pPr>
            <w:r>
              <w:rPr>
                <w:color w:val="FFFFFF" w:themeColor="background1"/>
              </w:rPr>
              <w:t>Crédito de Serviço</w:t>
            </w:r>
          </w:p>
        </w:tc>
      </w:tr>
      <w:tr w:rsidR="005C061C" w:rsidRPr="00B44CF9" w14:paraId="2A0F7D12" w14:textId="77777777" w:rsidTr="00277097">
        <w:tc>
          <w:tcPr>
            <w:tcW w:w="5400" w:type="dxa"/>
          </w:tcPr>
          <w:p w14:paraId="53DE73C6" w14:textId="77777777" w:rsidR="005C061C" w:rsidRPr="00EF7CF9" w:rsidRDefault="005C061C" w:rsidP="00F14ACF">
            <w:pPr>
              <w:pStyle w:val="ProductList-OfferingBody"/>
              <w:keepNext/>
              <w:keepLines/>
              <w:jc w:val="center"/>
            </w:pPr>
            <w:r>
              <w:t>&lt; 99,9%</w:t>
            </w:r>
          </w:p>
        </w:tc>
        <w:tc>
          <w:tcPr>
            <w:tcW w:w="5400" w:type="dxa"/>
          </w:tcPr>
          <w:p w14:paraId="180C4714" w14:textId="77777777" w:rsidR="005C061C" w:rsidRPr="00EF7CF9" w:rsidRDefault="005C061C" w:rsidP="00F14ACF">
            <w:pPr>
              <w:pStyle w:val="ProductList-OfferingBody"/>
              <w:keepNext/>
              <w:keepLines/>
              <w:jc w:val="center"/>
            </w:pPr>
            <w:r>
              <w:t>10%</w:t>
            </w:r>
          </w:p>
        </w:tc>
      </w:tr>
      <w:tr w:rsidR="005C061C" w:rsidRPr="00B44CF9" w14:paraId="30A24E7D" w14:textId="77777777" w:rsidTr="00277097">
        <w:tc>
          <w:tcPr>
            <w:tcW w:w="5400" w:type="dxa"/>
          </w:tcPr>
          <w:p w14:paraId="2F3DD4DC" w14:textId="77777777" w:rsidR="005C061C" w:rsidRPr="00EF7CF9" w:rsidRDefault="005C061C" w:rsidP="00F14ACF">
            <w:pPr>
              <w:pStyle w:val="ProductList-OfferingBody"/>
              <w:keepNext/>
              <w:keepLines/>
              <w:jc w:val="center"/>
            </w:pPr>
            <w:r>
              <w:t>&lt; 99%</w:t>
            </w:r>
          </w:p>
        </w:tc>
        <w:tc>
          <w:tcPr>
            <w:tcW w:w="5400" w:type="dxa"/>
          </w:tcPr>
          <w:p w14:paraId="721BD409" w14:textId="77777777" w:rsidR="005C061C" w:rsidRPr="00EF7CF9" w:rsidRDefault="005C061C" w:rsidP="00F14ACF">
            <w:pPr>
              <w:pStyle w:val="ProductList-OfferingBody"/>
              <w:keepNext/>
              <w:keepLines/>
              <w:jc w:val="center"/>
            </w:pPr>
            <w:r>
              <w:t>25%</w:t>
            </w:r>
          </w:p>
        </w:tc>
      </w:tr>
    </w:tbl>
    <w:p w14:paraId="0558C22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2C28851" w14:textId="42544763" w:rsidR="004005AF" w:rsidRPr="00EF7CF9" w:rsidRDefault="004005AF" w:rsidP="00F01ED6">
      <w:pPr>
        <w:pStyle w:val="ProductList-Offering2Heading"/>
        <w:keepNext/>
        <w:tabs>
          <w:tab w:val="clear" w:pos="360"/>
          <w:tab w:val="clear" w:pos="720"/>
          <w:tab w:val="clear" w:pos="1080"/>
        </w:tabs>
        <w:outlineLvl w:val="2"/>
      </w:pPr>
      <w:bookmarkStart w:id="229" w:name="_Toc214456808"/>
      <w:r>
        <w:t>DNS do Azure</w:t>
      </w:r>
      <w:bookmarkEnd w:id="216"/>
      <w:bookmarkEnd w:id="217"/>
      <w:bookmarkEnd w:id="229"/>
    </w:p>
    <w:p w14:paraId="0BF477DA" w14:textId="77777777" w:rsidR="004005AF" w:rsidRPr="00EF7CF9" w:rsidRDefault="004005AF" w:rsidP="00F01ED6">
      <w:pPr>
        <w:pStyle w:val="ProductList-Body"/>
      </w:pPr>
      <w:r>
        <w:rPr>
          <w:b/>
          <w:color w:val="00188F"/>
        </w:rPr>
        <w:t>Definições Adicionais</w:t>
      </w:r>
      <w:r w:rsidRPr="00473DD3">
        <w:rPr>
          <w:b/>
          <w:color w:val="00188F"/>
        </w:rPr>
        <w:t>:</w:t>
      </w:r>
    </w:p>
    <w:p w14:paraId="3CA6934D" w14:textId="4E982F18" w:rsidR="004005AF" w:rsidRPr="009200BE" w:rsidRDefault="00380305" w:rsidP="00F01ED6">
      <w:pPr>
        <w:pStyle w:val="ProductList-Body"/>
      </w:pPr>
      <w:r>
        <w:t>“</w:t>
      </w:r>
      <w:r w:rsidR="004005AF">
        <w:rPr>
          <w:b/>
          <w:color w:val="00188F"/>
        </w:rPr>
        <w:t>Zona DNS</w:t>
      </w:r>
      <w:r>
        <w:t>”</w:t>
      </w:r>
      <w:r w:rsidR="004005AF">
        <w:rPr>
          <w:b/>
          <w:color w:val="00188F"/>
        </w:rPr>
        <w:t xml:space="preserve"> </w:t>
      </w:r>
      <w:r w:rsidR="004005AF">
        <w:t>designa uma implementação do Serviço DNS do Azure que contém uma zona DNS e conjuntos de registos.</w:t>
      </w:r>
    </w:p>
    <w:p w14:paraId="5D6DD826" w14:textId="135F0E9B" w:rsidR="004005AF" w:rsidRPr="009200BE" w:rsidRDefault="00380305" w:rsidP="00F01ED6">
      <w:pPr>
        <w:pStyle w:val="ProductList-Body"/>
      </w:pPr>
      <w:r>
        <w:t>“</w:t>
      </w:r>
      <w:r w:rsidR="004005AF">
        <w:rPr>
          <w:b/>
          <w:color w:val="00188F"/>
        </w:rPr>
        <w:t>Minutos de Implementação</w:t>
      </w:r>
      <w:r>
        <w:t>”</w:t>
      </w:r>
      <w:r w:rsidR="004005AF">
        <w:rPr>
          <w:b/>
          <w:color w:val="00188F"/>
        </w:rPr>
        <w:t xml:space="preserve"> </w:t>
      </w:r>
      <w:r w:rsidR="004005AF">
        <w:t>designa o número total de minutos durante os quais uma determinada Zona DNS foi implementada no Microsoft Azure durante um Período Aplicável.</w:t>
      </w:r>
    </w:p>
    <w:p w14:paraId="5A0A0837" w14:textId="729D1A9E" w:rsidR="004005AF" w:rsidRPr="009200BE"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todas as Zonas DNS implementadas numa determinada subscrição do Microsoft Azure durante um Período Aplicável.</w:t>
      </w:r>
    </w:p>
    <w:p w14:paraId="4DE9FAB9" w14:textId="1F882A19" w:rsidR="004005AF" w:rsidRPr="009200BE" w:rsidRDefault="00380305" w:rsidP="00F01ED6">
      <w:pPr>
        <w:pStyle w:val="ProductList-Body"/>
      </w:pPr>
      <w:r>
        <w:t>“</w:t>
      </w:r>
      <w:r w:rsidR="004005AF">
        <w:rPr>
          <w:b/>
          <w:color w:val="00188F"/>
        </w:rPr>
        <w:t>Pedido de DNS Válido</w:t>
      </w:r>
      <w:r>
        <w:t>”</w:t>
      </w:r>
      <w:r w:rsidR="004005AF">
        <w:rPr>
          <w:b/>
          <w:color w:val="00188F"/>
        </w:rPr>
        <w:t xml:space="preserve"> </w:t>
      </w:r>
      <w:r w:rsidR="004005AF">
        <w:t>designa um pedido de DNS para um servidor de nomes do Serviço DNS do Azure associado a uma Zona DNS para um conjunto de registos correspondentes na Zona DNS.</w:t>
      </w:r>
    </w:p>
    <w:p w14:paraId="244475C2" w14:textId="5D59548C" w:rsidR="004005AF" w:rsidRDefault="00380305" w:rsidP="00F01ED6">
      <w:pPr>
        <w:pStyle w:val="ProductList-Body"/>
      </w:pPr>
      <w:r>
        <w:t>“</w:t>
      </w:r>
      <w:r w:rsidR="004005AF">
        <w:rPr>
          <w:b/>
          <w:color w:val="00188F"/>
        </w:rPr>
        <w:t>Período de Indisponibilidade</w:t>
      </w:r>
      <w:r>
        <w:t>”</w:t>
      </w:r>
      <w:r w:rsidR="004005AF">
        <w:t xml:space="preserve"> designa o total acumulado do Máximo de Minutos Disponíveis durante o qual uma Zona DNS está indisponível. Um</w:t>
      </w:r>
      <w:r w:rsidR="008348E7">
        <w:t> </w:t>
      </w:r>
      <w:r w:rsidR="004005AF">
        <w:t>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7D6BFCE9" w14:textId="763FF46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E6E3CDB" w14:textId="21DD9DE3" w:rsidR="004005AF" w:rsidRPr="00EF7CF9" w:rsidRDefault="00000000" w:rsidP="00A1237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621791E" w14:textId="0AF5CDDE" w:rsidR="004005AF" w:rsidRDefault="004005AF" w:rsidP="00F01ED6">
      <w:pPr>
        <w:pStyle w:val="ProductList-Body"/>
        <w:keepNext/>
        <w:rPr>
          <w:b/>
          <w:color w:val="00188F"/>
        </w:rPr>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6AF1D8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277097">
        <w:tc>
          <w:tcPr>
            <w:tcW w:w="5400" w:type="dxa"/>
          </w:tcPr>
          <w:p w14:paraId="3F2D7638" w14:textId="1B1AF048" w:rsidR="004005AF" w:rsidRPr="005A3C16" w:rsidRDefault="004005AF" w:rsidP="00F01ED6">
            <w:pPr>
              <w:pStyle w:val="ProductList-OfferingBody"/>
              <w:jc w:val="center"/>
            </w:pPr>
            <w:r>
              <w:t>&lt;</w:t>
            </w:r>
            <w:r w:rsidR="00F23B07">
              <w:t xml:space="preserve"> </w:t>
            </w:r>
            <w:r>
              <w:t>100</w:t>
            </w:r>
          </w:p>
        </w:tc>
        <w:tc>
          <w:tcPr>
            <w:tcW w:w="5400" w:type="dxa"/>
          </w:tcPr>
          <w:p w14:paraId="4E1D2360" w14:textId="77777777" w:rsidR="004005AF" w:rsidRPr="005A3C16" w:rsidRDefault="004005AF" w:rsidP="00F01ED6">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F01ED6">
            <w:pPr>
              <w:pStyle w:val="ProductList-OfferingBody"/>
              <w:jc w:val="center"/>
            </w:pPr>
            <w:r>
              <w:t>&lt; 99,99%</w:t>
            </w:r>
          </w:p>
        </w:tc>
        <w:tc>
          <w:tcPr>
            <w:tcW w:w="5400" w:type="dxa"/>
          </w:tcPr>
          <w:p w14:paraId="461E93FC" w14:textId="77777777" w:rsidR="004005AF" w:rsidRPr="005A3C16" w:rsidRDefault="004005AF" w:rsidP="00F01ED6">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F01ED6">
            <w:pPr>
              <w:pStyle w:val="ProductList-OfferingBody"/>
              <w:jc w:val="center"/>
            </w:pPr>
            <w:r>
              <w:t>&lt; 99,5%</w:t>
            </w:r>
          </w:p>
        </w:tc>
        <w:tc>
          <w:tcPr>
            <w:tcW w:w="5400" w:type="dxa"/>
          </w:tcPr>
          <w:p w14:paraId="33C407AA" w14:textId="77777777" w:rsidR="004005AF" w:rsidRPr="005A3C16" w:rsidRDefault="004005AF" w:rsidP="00F01ED6">
            <w:pPr>
              <w:pStyle w:val="ProductList-OfferingBody"/>
              <w:jc w:val="center"/>
            </w:pPr>
            <w:r>
              <w:t>100%</w:t>
            </w:r>
          </w:p>
        </w:tc>
      </w:tr>
    </w:tbl>
    <w:bookmarkStart w:id="230" w:name="_Toc505679756"/>
    <w:bookmarkStart w:id="231" w:name="_Toc52348953"/>
    <w:bookmarkStart w:id="232" w:name="_Toc526859658"/>
    <w:bookmarkStart w:id="233" w:name="_Toc52348931"/>
    <w:p w14:paraId="676E5BF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1E045B7" w14:textId="77777777" w:rsidR="00B43BCB" w:rsidRDefault="00B43BCB">
      <w:pPr>
        <w:rPr>
          <w:rFonts w:asciiTheme="majorHAnsi" w:hAnsiTheme="majorHAnsi"/>
          <w:b/>
          <w:color w:val="0072C6"/>
          <w:sz w:val="28"/>
        </w:rPr>
      </w:pPr>
      <w:r>
        <w:br w:type="page"/>
      </w:r>
    </w:p>
    <w:p w14:paraId="4BDD6216" w14:textId="47B9E703" w:rsidR="008070B0" w:rsidRPr="00EF7CF9" w:rsidRDefault="008070B0" w:rsidP="008070B0">
      <w:pPr>
        <w:pStyle w:val="ProductList-Offering2Heading"/>
        <w:keepNext/>
        <w:tabs>
          <w:tab w:val="clear" w:pos="360"/>
          <w:tab w:val="clear" w:pos="720"/>
          <w:tab w:val="clear" w:pos="1080"/>
        </w:tabs>
        <w:outlineLvl w:val="2"/>
      </w:pPr>
      <w:bookmarkStart w:id="234" w:name="_Toc214456809"/>
      <w:r>
        <w:lastRenderedPageBreak/>
        <w:t>Azure</w:t>
      </w:r>
      <w:r w:rsidR="000B098B">
        <w:t xml:space="preserve"> DNS Private Resolver</w:t>
      </w:r>
      <w:bookmarkEnd w:id="234"/>
    </w:p>
    <w:p w14:paraId="0708D2A4" w14:textId="77777777" w:rsidR="008070B0" w:rsidRDefault="008070B0" w:rsidP="008070B0">
      <w:pPr>
        <w:pStyle w:val="ProductList-Body"/>
        <w:rPr>
          <w:b/>
          <w:color w:val="00188F"/>
        </w:rPr>
      </w:pPr>
      <w:r>
        <w:rPr>
          <w:b/>
          <w:color w:val="00188F"/>
        </w:rPr>
        <w:t>Definições Adicionais</w:t>
      </w:r>
      <w:r w:rsidRPr="00473DD3">
        <w:rPr>
          <w:b/>
          <w:color w:val="00188F"/>
        </w:rPr>
        <w:t>:</w:t>
      </w:r>
    </w:p>
    <w:p w14:paraId="0B10BD28"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Ponto final do Azure DNS Private Resolver</w:t>
      </w:r>
      <w:r w:rsidRPr="00885319">
        <w:rPr>
          <w:rFonts w:cstheme="minorHAnsi"/>
        </w:rPr>
        <w:t>” designa uma implementação de um ponto final do Azure DNS Private Resolver que fornece resolução de nomes para as consultas DNS recebidas.</w:t>
      </w:r>
    </w:p>
    <w:p w14:paraId="1C354FB2"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Minutos de Implementação</w:t>
      </w:r>
      <w:r w:rsidRPr="00885319">
        <w:rPr>
          <w:rFonts w:cstheme="minorHAnsi"/>
        </w:rPr>
        <w:t>” designa o número total de minutos durante os quais um determinado ponto final foi implementado no Microsoft Azure durante um Período Aplicável.</w:t>
      </w:r>
    </w:p>
    <w:p w14:paraId="443F20ED"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Máximo de Minutos Disponíveis</w:t>
      </w:r>
      <w:r w:rsidRPr="00885319">
        <w:rPr>
          <w:rFonts w:cstheme="minorHAnsi"/>
        </w:rPr>
        <w:t>” é a soma de todos os Minutos de Implementação em todos os pontos finais implementados em cada subscrição do Microsoft Azure durante um Período Aplicável.</w:t>
      </w:r>
    </w:p>
    <w:p w14:paraId="44DF05F4"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Pedido de DNS Válido</w:t>
      </w:r>
      <w:r w:rsidRPr="00885319">
        <w:rPr>
          <w:rFonts w:cstheme="minorHAnsi"/>
        </w:rPr>
        <w:t>” designa um pedido de DNS para um servidor de nomes do Serviço DNS do Azure associado a uma Zona DNS para um conjunto de registos correspondentes na Zona DNS.</w:t>
      </w:r>
    </w:p>
    <w:p w14:paraId="3AF44406"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Período de Indisponibilidade</w:t>
      </w:r>
      <w:r w:rsidRPr="00885319">
        <w:rPr>
          <w:rFonts w:cstheme="minorHAnsi"/>
        </w:rPr>
        <w:t>” designa o total acumulado de Máximo de Minutos Disponíveis durante o qual um ponto final do DNS Private Resolver está indisponível. Um minuto é considerado indisponível para uma determinada ponto final se uma resposta de DNS não for recebida ao fim de dois segundos para um Pedido de DNS válido, desde que o Pedido de DNS válido seja feito para todos os servidores de nomes associados ao ponto final e forem feitas tentativas contínuas durante pelo menos 60 segundos consecutivos.</w:t>
      </w:r>
    </w:p>
    <w:p w14:paraId="52A136FC" w14:textId="77777777" w:rsidR="00885319" w:rsidRPr="00885319" w:rsidRDefault="00885319" w:rsidP="00885319">
      <w:pPr>
        <w:pStyle w:val="ProductList-Body"/>
        <w:rPr>
          <w:rFonts w:cstheme="minorHAnsi"/>
        </w:rPr>
      </w:pPr>
      <w:r w:rsidRPr="00885319">
        <w:rPr>
          <w:rFonts w:cstheme="minorHAnsi"/>
          <w:b/>
          <w:color w:val="00188F"/>
        </w:rPr>
        <w:t>Percentagem de Período de Disponibilidade:</w:t>
      </w:r>
      <w:r w:rsidRPr="00885319">
        <w:rPr>
          <w:rFonts w:cstheme="minorHAnsi"/>
        </w:rPr>
        <w:t xml:space="preserve"> A Percentagem de Período de Disponibilidade é calculada através da seguinte fórmula:</w:t>
      </w:r>
    </w:p>
    <w:p w14:paraId="2E27432F" w14:textId="77777777" w:rsidR="00885319" w:rsidRPr="00EF7CF9" w:rsidRDefault="00000000" w:rsidP="009F16F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3492536" w14:textId="77777777" w:rsidR="00885319" w:rsidRPr="00885319" w:rsidRDefault="00885319" w:rsidP="00885319">
      <w:pPr>
        <w:pStyle w:val="ProductList-Body"/>
        <w:keepNext/>
        <w:rPr>
          <w:rFonts w:cstheme="minorHAnsi"/>
        </w:rPr>
      </w:pPr>
      <w:r w:rsidRPr="00885319">
        <w:rPr>
          <w:rFonts w:cstheme="minorHAnsi"/>
          <w:b/>
          <w:color w:val="00188F"/>
        </w:rPr>
        <w:t>Crédito de Serviço</w:t>
      </w:r>
      <w:r w:rsidRPr="00885319">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319" w:rsidRPr="00B44CF9" w14:paraId="7FF549BB" w14:textId="77777777" w:rsidTr="00EA2F1A">
        <w:trPr>
          <w:tblHeader/>
        </w:trPr>
        <w:tc>
          <w:tcPr>
            <w:tcW w:w="5400" w:type="dxa"/>
            <w:shd w:val="clear" w:color="auto" w:fill="0072C6"/>
          </w:tcPr>
          <w:p w14:paraId="182558DE"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Percentagem de Período de Disponibilidade</w:t>
            </w:r>
          </w:p>
        </w:tc>
        <w:tc>
          <w:tcPr>
            <w:tcW w:w="5400" w:type="dxa"/>
            <w:shd w:val="clear" w:color="auto" w:fill="0072C6"/>
          </w:tcPr>
          <w:p w14:paraId="6BCF04BA"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Crédito de Serviço</w:t>
            </w:r>
          </w:p>
        </w:tc>
      </w:tr>
      <w:tr w:rsidR="00885319" w:rsidRPr="00B44CF9" w14:paraId="07F3DD10" w14:textId="77777777" w:rsidTr="00EA2F1A">
        <w:tc>
          <w:tcPr>
            <w:tcW w:w="5400" w:type="dxa"/>
          </w:tcPr>
          <w:p w14:paraId="001A7603" w14:textId="77777777" w:rsidR="00885319" w:rsidRPr="00885319" w:rsidRDefault="00885319" w:rsidP="00EA2F1A">
            <w:pPr>
              <w:pStyle w:val="ProductList-OfferingBody"/>
              <w:jc w:val="center"/>
              <w:rPr>
                <w:rFonts w:cstheme="minorHAnsi"/>
              </w:rPr>
            </w:pPr>
            <w:r w:rsidRPr="00885319">
              <w:rPr>
                <w:rFonts w:cstheme="minorHAnsi"/>
              </w:rPr>
              <w:t>&lt; 99,99%</w:t>
            </w:r>
          </w:p>
        </w:tc>
        <w:tc>
          <w:tcPr>
            <w:tcW w:w="5400" w:type="dxa"/>
          </w:tcPr>
          <w:p w14:paraId="122DF3EF" w14:textId="77777777" w:rsidR="00885319" w:rsidRPr="00885319" w:rsidRDefault="00885319" w:rsidP="00EA2F1A">
            <w:pPr>
              <w:pStyle w:val="ProductList-OfferingBody"/>
              <w:jc w:val="center"/>
              <w:rPr>
                <w:rFonts w:cstheme="minorHAnsi"/>
              </w:rPr>
            </w:pPr>
            <w:r w:rsidRPr="00885319">
              <w:rPr>
                <w:rFonts w:cstheme="minorHAnsi"/>
              </w:rPr>
              <w:t>10%</w:t>
            </w:r>
          </w:p>
        </w:tc>
      </w:tr>
      <w:tr w:rsidR="00885319" w:rsidRPr="00B44CF9" w14:paraId="481F6CB7" w14:textId="77777777" w:rsidTr="00EA2F1A">
        <w:tc>
          <w:tcPr>
            <w:tcW w:w="5400" w:type="dxa"/>
          </w:tcPr>
          <w:p w14:paraId="31746A5D" w14:textId="77777777" w:rsidR="00885319" w:rsidRPr="00885319" w:rsidRDefault="00885319" w:rsidP="00EA2F1A">
            <w:pPr>
              <w:pStyle w:val="ProductList-OfferingBody"/>
              <w:jc w:val="center"/>
              <w:rPr>
                <w:rFonts w:cstheme="minorHAnsi"/>
              </w:rPr>
            </w:pPr>
            <w:r w:rsidRPr="00885319">
              <w:rPr>
                <w:rFonts w:cstheme="minorHAnsi"/>
              </w:rPr>
              <w:t>&lt; 99,9%</w:t>
            </w:r>
          </w:p>
        </w:tc>
        <w:tc>
          <w:tcPr>
            <w:tcW w:w="5400" w:type="dxa"/>
          </w:tcPr>
          <w:p w14:paraId="5A213C9E" w14:textId="77777777" w:rsidR="00885319" w:rsidRPr="00885319" w:rsidRDefault="00885319" w:rsidP="00EA2F1A">
            <w:pPr>
              <w:pStyle w:val="ProductList-OfferingBody"/>
              <w:jc w:val="center"/>
              <w:rPr>
                <w:rFonts w:cstheme="minorHAnsi"/>
              </w:rPr>
            </w:pPr>
            <w:r w:rsidRPr="00885319">
              <w:rPr>
                <w:rFonts w:cstheme="minorHAnsi"/>
              </w:rPr>
              <w:t>25%</w:t>
            </w:r>
          </w:p>
        </w:tc>
      </w:tr>
      <w:tr w:rsidR="00885319" w:rsidRPr="00B44CF9" w14:paraId="107308CF" w14:textId="77777777" w:rsidTr="00EA2F1A">
        <w:tc>
          <w:tcPr>
            <w:tcW w:w="5400" w:type="dxa"/>
          </w:tcPr>
          <w:p w14:paraId="789A70DC" w14:textId="77777777" w:rsidR="00885319" w:rsidRPr="00885319" w:rsidRDefault="00885319" w:rsidP="00EA2F1A">
            <w:pPr>
              <w:pStyle w:val="ProductList-OfferingBody"/>
              <w:jc w:val="center"/>
              <w:rPr>
                <w:rFonts w:cstheme="minorHAnsi"/>
              </w:rPr>
            </w:pPr>
            <w:r w:rsidRPr="00885319">
              <w:rPr>
                <w:rFonts w:cstheme="minorHAnsi"/>
              </w:rPr>
              <w:t>&lt; 99,5%</w:t>
            </w:r>
          </w:p>
        </w:tc>
        <w:tc>
          <w:tcPr>
            <w:tcW w:w="5400" w:type="dxa"/>
          </w:tcPr>
          <w:p w14:paraId="57E89398" w14:textId="77777777" w:rsidR="00885319" w:rsidRPr="00885319" w:rsidRDefault="00885319" w:rsidP="00EA2F1A">
            <w:pPr>
              <w:pStyle w:val="ProductList-OfferingBody"/>
              <w:jc w:val="center"/>
              <w:rPr>
                <w:rFonts w:cstheme="minorHAnsi"/>
              </w:rPr>
            </w:pPr>
            <w:r w:rsidRPr="00885319">
              <w:rPr>
                <w:rFonts w:cstheme="minorHAnsi"/>
              </w:rPr>
              <w:t>100%</w:t>
            </w:r>
          </w:p>
        </w:tc>
      </w:tr>
    </w:tbl>
    <w:p w14:paraId="2A2996EC" w14:textId="77777777" w:rsidR="00FB0DBB" w:rsidRPr="00EF7CF9" w:rsidRDefault="00FB0DBB" w:rsidP="00FB0D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4AB2EFF" w14:textId="77777777" w:rsidR="00D420DB" w:rsidRPr="00D420DB" w:rsidRDefault="00D420DB" w:rsidP="00D420DB">
      <w:pPr>
        <w:pStyle w:val="ProductList-Offering2Heading"/>
        <w:keepNext/>
        <w:tabs>
          <w:tab w:val="clear" w:pos="360"/>
          <w:tab w:val="clear" w:pos="720"/>
          <w:tab w:val="clear" w:pos="1080"/>
        </w:tabs>
        <w:outlineLvl w:val="2"/>
      </w:pPr>
      <w:bookmarkStart w:id="235" w:name="_Toc210228314"/>
      <w:bookmarkStart w:id="236" w:name="_Toc214456810"/>
      <w:r w:rsidRPr="00D420DB">
        <w:t>Azure DocumentDB (com compatibilidade com MongoDB)</w:t>
      </w:r>
      <w:bookmarkEnd w:id="235"/>
      <w:bookmarkEnd w:id="236"/>
    </w:p>
    <w:p w14:paraId="5636A415" w14:textId="77777777" w:rsidR="00D420DB" w:rsidRPr="00A15C3C" w:rsidRDefault="00D420DB" w:rsidP="00D420DB">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Definições Adicionais:</w:t>
      </w:r>
    </w:p>
    <w:p w14:paraId="0941A35B"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“Servidor”</w:t>
      </w:r>
      <w:r>
        <w:rPr>
          <w:rFonts w:ascii="Calibri" w:eastAsia="Calibri" w:hAnsi="Calibri" w:cs="Calibri"/>
          <w:color w:val="00188F"/>
          <w:sz w:val="18"/>
          <w:szCs w:val="18"/>
        </w:rPr>
        <w:t xml:space="preserve"> </w:t>
      </w:r>
      <w:r>
        <w:rPr>
          <w:rFonts w:ascii="Calibri" w:eastAsia="Calibri" w:hAnsi="Calibri" w:cs="Calibri"/>
          <w:sz w:val="18"/>
          <w:szCs w:val="18"/>
        </w:rPr>
        <w:t>designa qualquer servidor Azure DocumentDB específico.</w:t>
      </w:r>
    </w:p>
    <w:p w14:paraId="362498D9"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b/>
          <w:bCs/>
          <w:color w:val="00188F"/>
          <w:sz w:val="18"/>
          <w:szCs w:val="18"/>
        </w:rPr>
        <w:t>“Cluster de Elevada Disponibilidade”</w:t>
      </w:r>
      <w:r>
        <w:rPr>
          <w:rFonts w:ascii="Calibri" w:eastAsia="Calibri" w:hAnsi="Calibri" w:cs="Calibri"/>
          <w:color w:val="00188F"/>
          <w:sz w:val="18"/>
          <w:szCs w:val="18"/>
        </w:rPr>
        <w:t xml:space="preserve"> </w:t>
      </w:r>
      <w:r>
        <w:rPr>
          <w:rFonts w:ascii="Calibri" w:eastAsia="Calibri" w:hAnsi="Calibri" w:cs="Calibri"/>
          <w:sz w:val="18"/>
          <w:szCs w:val="18"/>
        </w:rPr>
        <w:t>designa um conjunto de Nós de Elevada Disponibilidade.</w:t>
      </w:r>
    </w:p>
    <w:p w14:paraId="35089EEA"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b/>
          <w:bCs/>
          <w:color w:val="00188F"/>
          <w:sz w:val="18"/>
          <w:szCs w:val="18"/>
        </w:rPr>
        <w:t>“Nó de Elevada Disponibilidade”</w:t>
      </w:r>
      <w:r>
        <w:rPr>
          <w:rFonts w:ascii="Calibri" w:eastAsia="Calibri" w:hAnsi="Calibri" w:cs="Calibri"/>
          <w:color w:val="00188F"/>
          <w:sz w:val="18"/>
          <w:szCs w:val="18"/>
        </w:rPr>
        <w:t xml:space="preserve"> </w:t>
      </w:r>
      <w:r>
        <w:rPr>
          <w:rFonts w:ascii="Calibri" w:eastAsia="Calibri" w:hAnsi="Calibri" w:cs="Calibri"/>
          <w:sz w:val="18"/>
          <w:szCs w:val="18"/>
        </w:rPr>
        <w:t>designa um Nó num cluster, com elevada disponibilidade ativada.</w:t>
      </w:r>
    </w:p>
    <w:p w14:paraId="26C547EF" w14:textId="77777777" w:rsidR="00D420DB" w:rsidRPr="00A15C3C" w:rsidRDefault="00D420DB" w:rsidP="00D420DB">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Cálculo do Tempo de Disponibilidade e Níveis de Serviço para o Microsoft Azure DocumentDB – Nó de Elevada Disponibilidade</w:t>
      </w:r>
    </w:p>
    <w:p w14:paraId="796555E4"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b/>
          <w:bCs/>
          <w:color w:val="00188F"/>
          <w:sz w:val="18"/>
          <w:szCs w:val="18"/>
        </w:rPr>
        <w:t>“Máximo de Minutos Disponíveis”</w:t>
      </w:r>
      <w:r>
        <w:rPr>
          <w:rFonts w:ascii="Calibri" w:eastAsia="Calibri" w:hAnsi="Calibri" w:cs="Calibri"/>
          <w:color w:val="00188F"/>
          <w:sz w:val="18"/>
          <w:szCs w:val="18"/>
        </w:rPr>
        <w:t xml:space="preserve"> </w:t>
      </w:r>
      <w:r>
        <w:rPr>
          <w:rFonts w:ascii="Calibri" w:eastAsia="Calibri" w:hAnsi="Calibri" w:cs="Calibri"/>
          <w:sz w:val="18"/>
          <w:szCs w:val="18"/>
        </w:rPr>
        <w:t>designa o número total de minutos para um determinado Nó de Elevada Disponibilidade implementado pelo Cliente numa subscrição do Microsoft Azure durante um Período Aplicável.</w:t>
      </w:r>
    </w:p>
    <w:p w14:paraId="3F9D0344"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b/>
          <w:bCs/>
          <w:color w:val="00188F"/>
          <w:sz w:val="18"/>
          <w:szCs w:val="18"/>
        </w:rPr>
        <w:t>“Tempo de Indisponibilidade”</w:t>
      </w:r>
      <w:r>
        <w:rPr>
          <w:rFonts w:ascii="Calibri" w:eastAsia="Calibri" w:hAnsi="Calibri" w:cs="Calibri"/>
          <w:color w:val="00188F"/>
          <w:sz w:val="18"/>
          <w:szCs w:val="18"/>
        </w:rPr>
        <w:t xml:space="preserve"> </w:t>
      </w:r>
      <w:r>
        <w:rPr>
          <w:rFonts w:ascii="Calibri" w:eastAsia="Calibri" w:hAnsi="Calibri" w:cs="Calibri"/>
          <w:sz w:val="18"/>
          <w:szCs w:val="18"/>
        </w:rPr>
        <w:t>designa o número total de minutos no Máximo de Minutos Disponíveis durante o qual um Nó está indisponível. Um minuto é considerado indisponível se todas as tentativas contínuas por parte do Cliente para estabelecer ligação ao Nó devolveram um Código de Erro ou não responderam ao fim de um minuto.</w:t>
      </w:r>
    </w:p>
    <w:p w14:paraId="05930FDD" w14:textId="77777777" w:rsidR="00D420DB" w:rsidRPr="000D6A98" w:rsidRDefault="00D420DB" w:rsidP="00D420DB">
      <w:pPr>
        <w:spacing w:after="0" w:line="240" w:lineRule="auto"/>
        <w:rPr>
          <w:rFonts w:ascii="Calibri" w:eastAsia="Calibri" w:hAnsi="Calibri" w:cs="Calibri"/>
          <w:sz w:val="18"/>
          <w:szCs w:val="18"/>
        </w:rPr>
      </w:pPr>
      <w:r w:rsidRPr="000D6A98">
        <w:rPr>
          <w:sz w:val="18"/>
          <w:szCs w:val="18"/>
        </w:rPr>
        <w:t xml:space="preserve">A </w:t>
      </w:r>
      <w:r w:rsidRPr="000D6A98">
        <w:rPr>
          <w:rFonts w:ascii="Calibri" w:eastAsia="Calibri" w:hAnsi="Calibri" w:cs="Calibri"/>
          <w:b/>
          <w:bCs/>
          <w:color w:val="00188F"/>
          <w:sz w:val="18"/>
          <w:szCs w:val="18"/>
        </w:rPr>
        <w:t>“Percentagem de Tempo de Disponibilidade”</w:t>
      </w:r>
      <w:r w:rsidRPr="000D6A98">
        <w:rPr>
          <w:rFonts w:ascii="Calibri" w:eastAsia="Calibri" w:hAnsi="Calibri" w:cs="Calibri"/>
          <w:color w:val="00188F"/>
          <w:sz w:val="18"/>
          <w:szCs w:val="18"/>
        </w:rPr>
        <w:t xml:space="preserve"> </w:t>
      </w:r>
      <w:r w:rsidRPr="000D6A98">
        <w:rPr>
          <w:rFonts w:ascii="Calibri" w:eastAsia="Calibri" w:hAnsi="Calibri" w:cs="Calibri"/>
          <w:sz w:val="18"/>
          <w:szCs w:val="18"/>
        </w:rPr>
        <w:t>para o Nó de Elevada Disponibilidade do Azure DocumentDB é calculada como o Máximo de Minutos Disponíveis menos o Tempo de Indisponibilidade dividido pelo Máximo de Minutos Disponíveis.</w:t>
      </w:r>
    </w:p>
    <w:p w14:paraId="75D441B0"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sz w:val="18"/>
          <w:szCs w:val="18"/>
        </w:rPr>
        <w:t>A Percentagem de Tempo de Disponibilidade é calculada através da seguinte fórmula:</w:t>
      </w:r>
    </w:p>
    <w:p w14:paraId="6AE8E3D0" w14:textId="77777777" w:rsidR="00D420DB" w:rsidRPr="00A15C3C" w:rsidRDefault="00000000" w:rsidP="00D420DB">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Máximo de Minutos Disponíveis-Tempo de Indisponibilidade</m:t>
              </m:r>
            </m:num>
            <m:den>
              <m:r>
                <m:rPr>
                  <m:nor/>
                </m:rPr>
                <w:rPr>
                  <w:rFonts w:ascii="Cambria Math" w:eastAsia="Calibri" w:hAnsi="Cambria Math" w:cs="Calibri"/>
                  <w:i/>
                  <w:sz w:val="18"/>
                  <w:szCs w:val="18"/>
                </w:rPr>
                <m:t>Máximo de Minutos Disponíveis</m:t>
              </m:r>
            </m:den>
          </m:f>
          <m:r>
            <w:rPr>
              <w:rFonts w:ascii="Cambria Math" w:eastAsia="Calibri" w:hAnsi="Cambria Math" w:cs="Calibri"/>
              <w:sz w:val="18"/>
              <w:szCs w:val="18"/>
            </w:rPr>
            <m:t xml:space="preserve"> x 100</m:t>
          </m:r>
        </m:oMath>
      </m:oMathPara>
    </w:p>
    <w:p w14:paraId="03788B8B" w14:textId="77777777" w:rsidR="00D420DB" w:rsidRPr="00A15C3C" w:rsidRDefault="00D420DB" w:rsidP="00D420DB">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Os seguintes Níveis de Serviço e Crédito de Serviço são aplicáveis à utilização que o Cliente faz do Nó de Elevada Disponibilidade do Microsoft Azure DocumentDB configurado para abranger duas ou mais regiões do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20DB" w:rsidRPr="00A15C3C" w14:paraId="6E1AD475" w14:textId="77777777" w:rsidTr="00954FA1">
        <w:trPr>
          <w:trHeight w:val="245"/>
          <w:tblHeader/>
        </w:trPr>
        <w:tc>
          <w:tcPr>
            <w:tcW w:w="5400" w:type="dxa"/>
            <w:shd w:val="clear" w:color="auto" w:fill="0072C6"/>
          </w:tcPr>
          <w:p w14:paraId="428DF30B"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Tempo de Disponibilidade</w:t>
            </w:r>
          </w:p>
        </w:tc>
        <w:tc>
          <w:tcPr>
            <w:tcW w:w="5400" w:type="dxa"/>
            <w:shd w:val="clear" w:color="auto" w:fill="0072C6"/>
          </w:tcPr>
          <w:p w14:paraId="5AB1B287"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D420DB" w:rsidRPr="00A15C3C" w14:paraId="03F98028" w14:textId="77777777" w:rsidTr="00954FA1">
        <w:trPr>
          <w:trHeight w:val="245"/>
        </w:trPr>
        <w:tc>
          <w:tcPr>
            <w:tcW w:w="5400" w:type="dxa"/>
          </w:tcPr>
          <w:p w14:paraId="16559088"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w:t>
            </w:r>
          </w:p>
        </w:tc>
        <w:tc>
          <w:tcPr>
            <w:tcW w:w="5400" w:type="dxa"/>
          </w:tcPr>
          <w:p w14:paraId="6B9666FA" w14:textId="77777777" w:rsidR="00D420DB" w:rsidRPr="00A15C3C" w:rsidRDefault="00D420DB"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D420DB" w:rsidRPr="00A15C3C" w14:paraId="4C17FB52" w14:textId="77777777" w:rsidTr="00954FA1">
        <w:trPr>
          <w:trHeight w:val="245"/>
        </w:trPr>
        <w:tc>
          <w:tcPr>
            <w:tcW w:w="5400" w:type="dxa"/>
          </w:tcPr>
          <w:p w14:paraId="15B63169"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9924970"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F114404" w14:textId="77777777" w:rsidR="00D420DB" w:rsidRPr="00A15C3C" w:rsidRDefault="00D420DB" w:rsidP="00D420DB">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Os seguintes Níveis de Serviço e Crédito de Serviço são aplicáveis à utilização que o Cliente faz do Nó de Elevada Disponibilidade do Microsoft Azure DocumentDB destinado a uma única região do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20DB" w:rsidRPr="00A15C3C" w14:paraId="0DA38935" w14:textId="77777777" w:rsidTr="00954FA1">
        <w:trPr>
          <w:trHeight w:val="245"/>
          <w:tblHeader/>
        </w:trPr>
        <w:tc>
          <w:tcPr>
            <w:tcW w:w="5400" w:type="dxa"/>
            <w:shd w:val="clear" w:color="auto" w:fill="0072C6"/>
          </w:tcPr>
          <w:p w14:paraId="646B3560"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Tempo de Disponibilidade</w:t>
            </w:r>
          </w:p>
        </w:tc>
        <w:tc>
          <w:tcPr>
            <w:tcW w:w="5400" w:type="dxa"/>
            <w:shd w:val="clear" w:color="auto" w:fill="0072C6"/>
          </w:tcPr>
          <w:p w14:paraId="7FEBA19A"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D420DB" w:rsidRPr="00A15C3C" w14:paraId="5EC3F5BD" w14:textId="77777777" w:rsidTr="00954FA1">
        <w:trPr>
          <w:trHeight w:val="245"/>
        </w:trPr>
        <w:tc>
          <w:tcPr>
            <w:tcW w:w="5400" w:type="dxa"/>
          </w:tcPr>
          <w:p w14:paraId="55D37E42"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w:t>
            </w:r>
          </w:p>
        </w:tc>
        <w:tc>
          <w:tcPr>
            <w:tcW w:w="5400" w:type="dxa"/>
          </w:tcPr>
          <w:p w14:paraId="2D9F992C" w14:textId="77777777" w:rsidR="00D420DB" w:rsidRPr="00A15C3C" w:rsidRDefault="00D420DB"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D420DB" w:rsidRPr="00A15C3C" w14:paraId="6947C77D" w14:textId="77777777" w:rsidTr="00954FA1">
        <w:trPr>
          <w:trHeight w:val="245"/>
        </w:trPr>
        <w:tc>
          <w:tcPr>
            <w:tcW w:w="5400" w:type="dxa"/>
          </w:tcPr>
          <w:p w14:paraId="1EB73BD0"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67E6078"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EF520BF" w14:textId="77777777" w:rsidR="00D420DB" w:rsidRPr="00EF7CF9" w:rsidRDefault="00D420DB" w:rsidP="00D420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F3755EE" w14:textId="53DF5F56" w:rsidR="0049639F" w:rsidRDefault="0049639F" w:rsidP="00F01ED6">
      <w:pPr>
        <w:pStyle w:val="ProductList-Offering2Heading"/>
        <w:keepNext/>
        <w:tabs>
          <w:tab w:val="clear" w:pos="360"/>
          <w:tab w:val="clear" w:pos="720"/>
          <w:tab w:val="clear" w:pos="1080"/>
        </w:tabs>
        <w:outlineLvl w:val="2"/>
      </w:pPr>
      <w:bookmarkStart w:id="237" w:name="_Toc214456811"/>
      <w:r>
        <w:lastRenderedPageBreak/>
        <w:t>SLA Elastic San</w:t>
      </w:r>
      <w:bookmarkEnd w:id="237"/>
    </w:p>
    <w:p w14:paraId="6B14CF3D" w14:textId="77777777" w:rsidR="00D30437" w:rsidRPr="00B511B1" w:rsidRDefault="00D30437" w:rsidP="00D30437">
      <w:pPr>
        <w:pStyle w:val="ProductList-Body"/>
        <w:rPr>
          <w:rFonts w:ascii="Calibri" w:hAnsi="Calibri" w:cs="Calibri"/>
          <w:b/>
          <w:bCs/>
        </w:rPr>
      </w:pPr>
      <w:r>
        <w:rPr>
          <w:rFonts w:ascii="Calibri" w:hAnsi="Calibri" w:cs="Calibri"/>
          <w:b/>
          <w:color w:val="00188F"/>
        </w:rPr>
        <w:t>Definições Adicionais</w:t>
      </w:r>
      <w:r w:rsidRPr="00B511B1">
        <w:rPr>
          <w:rFonts w:ascii="Calibri" w:hAnsi="Calibri" w:cs="Calibri"/>
          <w:b/>
          <w:bCs/>
        </w:rPr>
        <w:t>:</w:t>
      </w:r>
    </w:p>
    <w:p w14:paraId="185F3C17" w14:textId="77777777" w:rsidR="00D30437" w:rsidRPr="00293689" w:rsidRDefault="00D30437" w:rsidP="00D30437">
      <w:pPr>
        <w:pStyle w:val="ProductList-Body"/>
        <w:rPr>
          <w:rFonts w:ascii="Calibri" w:eastAsia="Segoe UI" w:hAnsi="Calibri" w:cs="Calibri"/>
          <w:color w:val="1A1A1A"/>
        </w:rPr>
      </w:pPr>
      <w:r w:rsidRPr="00293689">
        <w:rPr>
          <w:rFonts w:ascii="Calibri" w:hAnsi="Calibri" w:cs="Calibri"/>
          <w:b/>
          <w:color w:val="00188F"/>
        </w:rPr>
        <w:t>“Total de Transações de Armazenamento”</w:t>
      </w:r>
      <w:r w:rsidRPr="00293689">
        <w:rPr>
          <w:rFonts w:ascii="Calibri" w:hAnsi="Calibri" w:cs="Calibri"/>
        </w:rPr>
        <w:t xml:space="preserve"> </w:t>
      </w:r>
      <w:r w:rsidRPr="00293689">
        <w:rPr>
          <w:rFonts w:ascii="Calibri" w:eastAsia="Segoe UI" w:hAnsi="Calibri" w:cs="Calibri"/>
          <w:color w:val="1A1A1A"/>
        </w:rPr>
        <w:t xml:space="preserve">é o conjunto de todas as transações de armazenamento tentadas num intervalo de uma hora num único volume Elastic SAN em que a contagem total de transações é &gt; 10.000. O único tipo de transação de armazenamento suportado pelo Elastic SAN são as operações iSCSI. </w:t>
      </w:r>
    </w:p>
    <w:p w14:paraId="18910B9C" w14:textId="77777777" w:rsidR="00D30437" w:rsidRPr="00293689" w:rsidRDefault="00D30437" w:rsidP="00D30437">
      <w:pPr>
        <w:pStyle w:val="ProductList-Body"/>
        <w:rPr>
          <w:rFonts w:ascii="Calibri" w:eastAsia="Segoe UI" w:hAnsi="Calibri" w:cs="Calibri"/>
          <w:color w:val="1A1A1A"/>
        </w:rPr>
      </w:pPr>
      <w:r w:rsidRPr="00293689">
        <w:rPr>
          <w:rFonts w:ascii="Calibri" w:hAnsi="Calibri" w:cs="Calibri"/>
          <w:b/>
          <w:color w:val="00188F"/>
        </w:rPr>
        <w:t>“Transações de Armazenamento com Falha”</w:t>
      </w:r>
      <w:r w:rsidRPr="00293689">
        <w:rPr>
          <w:rFonts w:ascii="Calibri" w:eastAsia="Segoe UI" w:hAnsi="Calibri" w:cs="Calibri"/>
          <w:color w:val="1A1A1A"/>
        </w:rPr>
        <w:t xml:space="preserve"> é o conjunto de todas as transações de armazenamento de leitura e escrita no âmbito do Total de Transações de Armazenamento que não são concluídas com uma resposta positiva devido a falhas do lado do serviço, excluindo erros do lado do cliente e erros de limitação do servidor. </w:t>
      </w:r>
    </w:p>
    <w:p w14:paraId="0F771D91" w14:textId="77777777" w:rsidR="00D30437" w:rsidRDefault="00D30437" w:rsidP="00D30437">
      <w:pPr>
        <w:pStyle w:val="ProductList-Body"/>
        <w:rPr>
          <w:rFonts w:eastAsia="Segoe UI"/>
          <w:color w:val="1A1A1A"/>
        </w:rPr>
      </w:pPr>
      <w:r w:rsidRPr="00293689">
        <w:rPr>
          <w:rFonts w:ascii="Calibri" w:hAnsi="Calibri" w:cs="Calibri"/>
          <w:b/>
          <w:color w:val="00188F"/>
        </w:rPr>
        <w:t>“Percentagem de Período de Disponibilidade Mensal”</w:t>
      </w:r>
      <w:r w:rsidRPr="00293689">
        <w:rPr>
          <w:rStyle w:val="Strong"/>
          <w:rFonts w:ascii="Calibri" w:hAnsi="Calibri" w:cs="Calibri"/>
          <w:shd w:val="clear" w:color="auto" w:fill="FFFFFF"/>
        </w:rPr>
        <w:t>:</w:t>
      </w:r>
      <w:r w:rsidRPr="00293689">
        <w:rPr>
          <w:rFonts w:ascii="Calibri" w:hAnsi="Calibri" w:cs="Calibri"/>
          <w:shd w:val="clear" w:color="auto" w:fill="FFFFFF"/>
        </w:rPr>
        <w:t> A Percentagem de Período de Disponibilidade Mensal no Azure Elastic SAN num único volume é calculada como a média das percentagens de disponibilidade de todos os intervalos de uma hora, que é calculada através da seguinte fórmula:</w:t>
      </w:r>
      <w:r>
        <w:rPr>
          <w:rFonts w:eastAsia="Segoe UI"/>
          <w:color w:val="1A1A1A"/>
        </w:rPr>
        <w:t xml:space="preserve"> </w:t>
      </w:r>
    </w:p>
    <w:p w14:paraId="4B0B2283" w14:textId="77777777" w:rsidR="00D30437" w:rsidRDefault="00000000" w:rsidP="00AB785C">
      <w:pPr>
        <w:pStyle w:val="ProductList-Body"/>
        <w:spacing w:after="120"/>
        <w:rPr>
          <w:rFonts w:eastAsia="Segoe UI"/>
          <w:color w:val="1A1A1A"/>
        </w:rPr>
      </w:pPr>
      <m:oMathPara>
        <m:oMath>
          <m:f>
            <m:fPr>
              <m:ctrlPr>
                <w:rPr>
                  <w:rFonts w:ascii="Cambria Math" w:hAnsi="Cambria Math"/>
                </w:rPr>
              </m:ctrlPr>
            </m:fPr>
            <m:num>
              <m:r>
                <w:rPr>
                  <w:rFonts w:ascii="Cambria Math" w:hAnsi="Cambria Math"/>
                </w:rPr>
                <m:t>Total de Transações de Armazenamento-Transações de Armazenamento com Falha</m:t>
              </m:r>
            </m:num>
            <m:den>
              <m:r>
                <w:rPr>
                  <w:rFonts w:ascii="Cambria Math" w:hAnsi="Cambria Math"/>
                </w:rPr>
                <m:t>Total de Transações de Armazenamento</m:t>
              </m:r>
            </m:den>
          </m:f>
          <m:r>
            <w:rPr>
              <w:rFonts w:ascii="Cambria Math" w:hAnsi="Cambria Math"/>
            </w:rPr>
            <m:t>×100</m:t>
          </m:r>
        </m:oMath>
      </m:oMathPara>
    </w:p>
    <w:p w14:paraId="4A542B03" w14:textId="77777777" w:rsidR="00D30437" w:rsidRPr="000F5508" w:rsidRDefault="00D30437" w:rsidP="00485BEC">
      <w:pPr>
        <w:pStyle w:val="ProductList-Body"/>
      </w:pPr>
      <w:r>
        <w:rPr>
          <w:b/>
          <w:color w:val="00188F"/>
        </w:rPr>
        <w:t>Crédito de Serviço:</w:t>
      </w:r>
      <w:r>
        <w:t xml:space="preserve"> Elastic SAN em LRS, ZRS (pedidos de leitura e escrita) em que a contagem total de volumes Elastic SAN &gt; 10 e &gt;10% dos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14:paraId="48205DD6" w14:textId="77777777" w:rsidTr="00041F55">
        <w:trPr>
          <w:trHeight w:val="170"/>
        </w:trPr>
        <w:tc>
          <w:tcPr>
            <w:tcW w:w="5395" w:type="dxa"/>
            <w:shd w:val="clear" w:color="auto" w:fill="0072C6"/>
            <w:vAlign w:val="center"/>
          </w:tcPr>
          <w:p w14:paraId="1A02EB2F" w14:textId="77777777" w:rsidR="00D30437" w:rsidRPr="00485BEC" w:rsidRDefault="00D30437" w:rsidP="00485BEC">
            <w:pPr>
              <w:pStyle w:val="ProductList-OfferingBody"/>
              <w:jc w:val="center"/>
              <w:rPr>
                <w:rFonts w:cstheme="minorHAnsi"/>
                <w:color w:val="FFFFFF" w:themeColor="background1"/>
              </w:rPr>
            </w:pPr>
            <w:bookmarkStart w:id="238" w:name="_Toc178260863"/>
            <w:r w:rsidRPr="00485BEC">
              <w:rPr>
                <w:rFonts w:cstheme="minorHAnsi"/>
                <w:color w:val="FFFFFF" w:themeColor="background1"/>
              </w:rPr>
              <w:t>Percentagem de Período de Disponibilidade Mensal (por volume)</w:t>
            </w:r>
            <w:bookmarkEnd w:id="238"/>
          </w:p>
        </w:tc>
        <w:tc>
          <w:tcPr>
            <w:tcW w:w="5395" w:type="dxa"/>
            <w:shd w:val="clear" w:color="auto" w:fill="0072C6"/>
            <w:vAlign w:val="center"/>
          </w:tcPr>
          <w:p w14:paraId="7D051C6C" w14:textId="77777777" w:rsidR="00D30437" w:rsidRPr="00485BEC" w:rsidRDefault="00D30437" w:rsidP="00485BEC">
            <w:pPr>
              <w:pStyle w:val="ProductList-OfferingBody"/>
              <w:jc w:val="center"/>
              <w:rPr>
                <w:rFonts w:cstheme="minorHAnsi"/>
                <w:color w:val="FFFFFF" w:themeColor="background1"/>
              </w:rPr>
            </w:pPr>
            <w:bookmarkStart w:id="239" w:name="_Toc178260864"/>
            <w:r w:rsidRPr="00485BEC">
              <w:rPr>
                <w:rFonts w:cstheme="minorHAnsi"/>
                <w:color w:val="FFFFFF" w:themeColor="background1"/>
              </w:rPr>
              <w:t>Crédito de Serviço (baseado na utilização mensal do Elastic SAN)</w:t>
            </w:r>
            <w:bookmarkEnd w:id="239"/>
          </w:p>
        </w:tc>
      </w:tr>
      <w:tr w:rsidR="00D30437" w14:paraId="7B5EF52A" w14:textId="77777777" w:rsidTr="00041F55">
        <w:tc>
          <w:tcPr>
            <w:tcW w:w="5395" w:type="dxa"/>
            <w:vAlign w:val="center"/>
          </w:tcPr>
          <w:p w14:paraId="1CBCA54C" w14:textId="77777777" w:rsidR="00D30437" w:rsidRPr="00485BEC" w:rsidRDefault="00D30437" w:rsidP="00485BEC">
            <w:pPr>
              <w:pStyle w:val="ProductList-OfferingBody"/>
              <w:jc w:val="center"/>
              <w:rPr>
                <w:rFonts w:cstheme="minorHAnsi"/>
              </w:rPr>
            </w:pPr>
            <w:bookmarkStart w:id="240" w:name="_Toc178260865"/>
            <w:r w:rsidRPr="00485BEC">
              <w:rPr>
                <w:rFonts w:cstheme="minorHAnsi"/>
              </w:rPr>
              <w:t>&lt; 99,99%</w:t>
            </w:r>
            <w:bookmarkEnd w:id="240"/>
          </w:p>
        </w:tc>
        <w:tc>
          <w:tcPr>
            <w:tcW w:w="5395" w:type="dxa"/>
            <w:vAlign w:val="center"/>
          </w:tcPr>
          <w:p w14:paraId="0C1E2430" w14:textId="77777777" w:rsidR="00D30437" w:rsidRPr="00485BEC" w:rsidRDefault="00D30437" w:rsidP="00485BEC">
            <w:pPr>
              <w:pStyle w:val="ProductList-OfferingBody"/>
              <w:jc w:val="center"/>
              <w:rPr>
                <w:rFonts w:cstheme="minorHAnsi"/>
              </w:rPr>
            </w:pPr>
            <w:bookmarkStart w:id="241" w:name="_Toc178260866"/>
            <w:r w:rsidRPr="00485BEC">
              <w:rPr>
                <w:rFonts w:cstheme="minorHAnsi"/>
              </w:rPr>
              <w:t>5%</w:t>
            </w:r>
            <w:bookmarkEnd w:id="241"/>
          </w:p>
        </w:tc>
      </w:tr>
      <w:tr w:rsidR="00D30437" w14:paraId="6D753E08" w14:textId="77777777" w:rsidTr="00041F55">
        <w:tc>
          <w:tcPr>
            <w:tcW w:w="5395" w:type="dxa"/>
            <w:vAlign w:val="center"/>
          </w:tcPr>
          <w:p w14:paraId="04F04126" w14:textId="77777777" w:rsidR="00D30437" w:rsidRPr="00485BEC" w:rsidRDefault="00D30437" w:rsidP="00485BEC">
            <w:pPr>
              <w:pStyle w:val="ProductList-OfferingBody"/>
              <w:jc w:val="center"/>
              <w:rPr>
                <w:rFonts w:cstheme="minorHAnsi"/>
              </w:rPr>
            </w:pPr>
            <w:bookmarkStart w:id="242" w:name="_Toc178260867"/>
            <w:r w:rsidRPr="00485BEC">
              <w:rPr>
                <w:rFonts w:cstheme="minorHAnsi"/>
              </w:rPr>
              <w:t>&lt; 99%</w:t>
            </w:r>
            <w:bookmarkEnd w:id="242"/>
          </w:p>
        </w:tc>
        <w:tc>
          <w:tcPr>
            <w:tcW w:w="5395" w:type="dxa"/>
            <w:vAlign w:val="center"/>
          </w:tcPr>
          <w:p w14:paraId="10001012" w14:textId="77777777" w:rsidR="00D30437" w:rsidRPr="00485BEC" w:rsidRDefault="00D30437" w:rsidP="00485BEC">
            <w:pPr>
              <w:pStyle w:val="ProductList-OfferingBody"/>
              <w:jc w:val="center"/>
              <w:rPr>
                <w:rFonts w:cstheme="minorHAnsi"/>
              </w:rPr>
            </w:pPr>
            <w:bookmarkStart w:id="243" w:name="_Toc178260868"/>
            <w:r w:rsidRPr="00485BEC">
              <w:rPr>
                <w:rFonts w:cstheme="minorHAnsi"/>
              </w:rPr>
              <w:t>10%</w:t>
            </w:r>
            <w:bookmarkEnd w:id="243"/>
          </w:p>
        </w:tc>
      </w:tr>
    </w:tbl>
    <w:p w14:paraId="48272C64" w14:textId="77777777" w:rsidR="00D30437" w:rsidRDefault="00D30437" w:rsidP="00D7240E">
      <w:pPr>
        <w:pStyle w:val="ProductList-Body"/>
        <w:spacing w:before="120"/>
      </w:pPr>
      <w:r>
        <w:rPr>
          <w:b/>
          <w:color w:val="00188F"/>
        </w:rPr>
        <w:t>Crédito de Serviço:</w:t>
      </w:r>
      <w:r>
        <w:t xml:space="preserve"> Elastic SAN em LRS, ZRS (pedidos de leitura e escrita) em que a contagem total de volumes Elastic SAN &gt; 10 e &gt;30% dos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rsidRPr="00F072ED" w14:paraId="474C2DE6" w14:textId="77777777" w:rsidTr="00041F55">
        <w:trPr>
          <w:trHeight w:val="170"/>
        </w:trPr>
        <w:tc>
          <w:tcPr>
            <w:tcW w:w="5395" w:type="dxa"/>
            <w:shd w:val="clear" w:color="auto" w:fill="0072C6"/>
            <w:vAlign w:val="center"/>
          </w:tcPr>
          <w:p w14:paraId="21DECF3F" w14:textId="77777777" w:rsidR="00D30437" w:rsidRPr="00485BEC" w:rsidRDefault="00D30437" w:rsidP="00485BEC">
            <w:pPr>
              <w:pStyle w:val="ProductList-OfferingBody"/>
              <w:jc w:val="center"/>
              <w:rPr>
                <w:rFonts w:cstheme="minorHAnsi"/>
                <w:color w:val="FFFFFF" w:themeColor="background1"/>
              </w:rPr>
            </w:pPr>
            <w:bookmarkStart w:id="244" w:name="_Toc178260869"/>
            <w:r w:rsidRPr="00485BEC">
              <w:rPr>
                <w:rFonts w:cstheme="minorHAnsi"/>
                <w:color w:val="FFFFFF" w:themeColor="background1"/>
              </w:rPr>
              <w:t>Percentagem de Período de Disponibilidade Mensal (por volume)</w:t>
            </w:r>
            <w:bookmarkEnd w:id="244"/>
          </w:p>
        </w:tc>
        <w:tc>
          <w:tcPr>
            <w:tcW w:w="5395" w:type="dxa"/>
            <w:shd w:val="clear" w:color="auto" w:fill="0072C6"/>
            <w:vAlign w:val="center"/>
          </w:tcPr>
          <w:p w14:paraId="7BC17255" w14:textId="77777777" w:rsidR="00D30437" w:rsidRPr="00485BEC" w:rsidRDefault="00D30437" w:rsidP="00485BEC">
            <w:pPr>
              <w:pStyle w:val="ProductList-OfferingBody"/>
              <w:jc w:val="center"/>
              <w:rPr>
                <w:rFonts w:cstheme="minorHAnsi"/>
                <w:color w:val="FFFFFF" w:themeColor="background1"/>
              </w:rPr>
            </w:pPr>
            <w:bookmarkStart w:id="245" w:name="_Toc178260870"/>
            <w:r w:rsidRPr="00485BEC">
              <w:rPr>
                <w:rFonts w:cstheme="minorHAnsi"/>
                <w:color w:val="FFFFFF" w:themeColor="background1"/>
              </w:rPr>
              <w:t>Crédito de Serviço</w:t>
            </w:r>
            <w:bookmarkEnd w:id="245"/>
          </w:p>
        </w:tc>
      </w:tr>
      <w:tr w:rsidR="00D30437" w:rsidRPr="008A6F08" w14:paraId="742EBD3E" w14:textId="77777777" w:rsidTr="00041F55">
        <w:trPr>
          <w:trHeight w:val="70"/>
        </w:trPr>
        <w:tc>
          <w:tcPr>
            <w:tcW w:w="5395" w:type="dxa"/>
            <w:vAlign w:val="center"/>
          </w:tcPr>
          <w:p w14:paraId="5089B6AE" w14:textId="77777777" w:rsidR="00D30437" w:rsidRPr="00485BEC" w:rsidRDefault="00D30437" w:rsidP="00485BEC">
            <w:pPr>
              <w:pStyle w:val="ProductList-OfferingBody"/>
              <w:jc w:val="center"/>
              <w:rPr>
                <w:rFonts w:cstheme="minorHAnsi"/>
              </w:rPr>
            </w:pPr>
            <w:bookmarkStart w:id="246" w:name="_Toc178260871"/>
            <w:r w:rsidRPr="00485BEC">
              <w:rPr>
                <w:rFonts w:cstheme="minorHAnsi"/>
              </w:rPr>
              <w:t>&lt; 99,99%</w:t>
            </w:r>
            <w:bookmarkEnd w:id="246"/>
          </w:p>
        </w:tc>
        <w:tc>
          <w:tcPr>
            <w:tcW w:w="5395" w:type="dxa"/>
            <w:vAlign w:val="center"/>
          </w:tcPr>
          <w:p w14:paraId="4E322127" w14:textId="77777777" w:rsidR="00D30437" w:rsidRPr="00485BEC" w:rsidRDefault="00D30437" w:rsidP="00485BEC">
            <w:pPr>
              <w:pStyle w:val="ProductList-OfferingBody"/>
              <w:jc w:val="center"/>
              <w:rPr>
                <w:rFonts w:cstheme="minorHAnsi"/>
              </w:rPr>
            </w:pPr>
            <w:bookmarkStart w:id="247" w:name="_Toc178260872"/>
            <w:r w:rsidRPr="00485BEC">
              <w:rPr>
                <w:rFonts w:cstheme="minorHAnsi"/>
              </w:rPr>
              <w:t>10%</w:t>
            </w:r>
            <w:bookmarkEnd w:id="247"/>
          </w:p>
        </w:tc>
      </w:tr>
      <w:tr w:rsidR="00D30437" w:rsidRPr="008A6F08" w14:paraId="5D19BD2A" w14:textId="77777777" w:rsidTr="00041F55">
        <w:tc>
          <w:tcPr>
            <w:tcW w:w="5395" w:type="dxa"/>
            <w:vAlign w:val="center"/>
          </w:tcPr>
          <w:p w14:paraId="401ED8D4" w14:textId="77777777" w:rsidR="00D30437" w:rsidRPr="00485BEC" w:rsidRDefault="00D30437" w:rsidP="00485BEC">
            <w:pPr>
              <w:pStyle w:val="ProductList-OfferingBody"/>
              <w:jc w:val="center"/>
              <w:rPr>
                <w:rFonts w:cstheme="minorHAnsi"/>
              </w:rPr>
            </w:pPr>
            <w:bookmarkStart w:id="248" w:name="_Toc178260873"/>
            <w:r w:rsidRPr="00485BEC">
              <w:rPr>
                <w:rFonts w:cstheme="minorHAnsi"/>
              </w:rPr>
              <w:t>&lt; 99%</w:t>
            </w:r>
            <w:bookmarkEnd w:id="248"/>
          </w:p>
        </w:tc>
        <w:tc>
          <w:tcPr>
            <w:tcW w:w="5395" w:type="dxa"/>
            <w:vAlign w:val="center"/>
          </w:tcPr>
          <w:p w14:paraId="7A7106AB" w14:textId="77777777" w:rsidR="00D30437" w:rsidRPr="00485BEC" w:rsidRDefault="00D30437" w:rsidP="00485BEC">
            <w:pPr>
              <w:pStyle w:val="ProductList-OfferingBody"/>
              <w:jc w:val="center"/>
              <w:rPr>
                <w:rFonts w:cstheme="minorHAnsi"/>
              </w:rPr>
            </w:pPr>
            <w:bookmarkStart w:id="249" w:name="_Toc178260874"/>
            <w:r w:rsidRPr="00485BEC">
              <w:rPr>
                <w:rFonts w:cstheme="minorHAnsi"/>
              </w:rPr>
              <w:t>30%</w:t>
            </w:r>
            <w:bookmarkEnd w:id="249"/>
          </w:p>
        </w:tc>
      </w:tr>
    </w:tbl>
    <w:p w14:paraId="6660D9D2" w14:textId="77777777" w:rsidR="00D30437" w:rsidRDefault="00D30437" w:rsidP="00D7240E">
      <w:pPr>
        <w:pStyle w:val="ProductList-Body"/>
        <w:spacing w:before="120"/>
      </w:pPr>
      <w:r>
        <w:rPr>
          <w:b/>
          <w:color w:val="00188F"/>
        </w:rPr>
        <w:t>Crédito de Serviço:</w:t>
      </w:r>
      <w:r>
        <w:t xml:space="preserve"> Elastic SAN em LRS, ZRS (pedidos de leitura e escrita) em que a contagem total de volumes Elastic SAN &lt;= 10 e quaisquer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rsidRPr="00F072ED" w14:paraId="1AF6C103" w14:textId="77777777" w:rsidTr="00041F55">
        <w:trPr>
          <w:trHeight w:val="170"/>
        </w:trPr>
        <w:tc>
          <w:tcPr>
            <w:tcW w:w="5395" w:type="dxa"/>
            <w:shd w:val="clear" w:color="auto" w:fill="0072C6"/>
            <w:vAlign w:val="center"/>
          </w:tcPr>
          <w:p w14:paraId="2C913092" w14:textId="77777777" w:rsidR="00D30437" w:rsidRPr="00485BEC" w:rsidRDefault="00D30437" w:rsidP="00485BEC">
            <w:pPr>
              <w:pStyle w:val="ProductList-OfferingBody"/>
              <w:jc w:val="center"/>
              <w:rPr>
                <w:rFonts w:cstheme="minorHAnsi"/>
                <w:color w:val="FFFFFF" w:themeColor="background1"/>
              </w:rPr>
            </w:pPr>
            <w:bookmarkStart w:id="250" w:name="_Toc178260875"/>
            <w:r w:rsidRPr="00485BEC">
              <w:rPr>
                <w:rFonts w:cstheme="minorHAnsi"/>
                <w:color w:val="FFFFFF" w:themeColor="background1"/>
              </w:rPr>
              <w:t>Percentagem de Período de Disponibilidade Mensal (por volume)</w:t>
            </w:r>
            <w:bookmarkEnd w:id="250"/>
          </w:p>
        </w:tc>
        <w:tc>
          <w:tcPr>
            <w:tcW w:w="5395" w:type="dxa"/>
            <w:shd w:val="clear" w:color="auto" w:fill="0072C6"/>
            <w:vAlign w:val="center"/>
          </w:tcPr>
          <w:p w14:paraId="59011E5D" w14:textId="77777777" w:rsidR="00D30437" w:rsidRPr="00485BEC" w:rsidRDefault="00D30437" w:rsidP="00485BEC">
            <w:pPr>
              <w:pStyle w:val="ProductList-OfferingBody"/>
              <w:jc w:val="center"/>
              <w:rPr>
                <w:rFonts w:cstheme="minorHAnsi"/>
                <w:color w:val="FFFFFF" w:themeColor="background1"/>
              </w:rPr>
            </w:pPr>
            <w:bookmarkStart w:id="251" w:name="_Toc178260876"/>
            <w:r w:rsidRPr="00485BEC">
              <w:rPr>
                <w:rFonts w:cstheme="minorHAnsi"/>
                <w:color w:val="FFFFFF" w:themeColor="background1"/>
              </w:rPr>
              <w:t>Crédito de Serviço</w:t>
            </w:r>
            <w:bookmarkEnd w:id="251"/>
          </w:p>
        </w:tc>
      </w:tr>
      <w:tr w:rsidR="00D30437" w:rsidRPr="008A6F08" w14:paraId="543C58C4" w14:textId="77777777" w:rsidTr="00041F55">
        <w:tc>
          <w:tcPr>
            <w:tcW w:w="5395" w:type="dxa"/>
            <w:vAlign w:val="center"/>
          </w:tcPr>
          <w:p w14:paraId="075740CC" w14:textId="77777777" w:rsidR="00D30437" w:rsidRPr="00485BEC" w:rsidRDefault="00D30437" w:rsidP="00485BEC">
            <w:pPr>
              <w:pStyle w:val="ProductList-OfferingBody"/>
              <w:jc w:val="center"/>
              <w:rPr>
                <w:rFonts w:cstheme="minorHAnsi"/>
              </w:rPr>
            </w:pPr>
            <w:bookmarkStart w:id="252" w:name="_Toc178260877"/>
            <w:r w:rsidRPr="00485BEC">
              <w:rPr>
                <w:rFonts w:cstheme="minorHAnsi"/>
              </w:rPr>
              <w:t>&lt; 95%</w:t>
            </w:r>
            <w:bookmarkEnd w:id="252"/>
          </w:p>
        </w:tc>
        <w:tc>
          <w:tcPr>
            <w:tcW w:w="5395" w:type="dxa"/>
            <w:vAlign w:val="center"/>
          </w:tcPr>
          <w:p w14:paraId="395D8822" w14:textId="77777777" w:rsidR="00D30437" w:rsidRPr="00485BEC" w:rsidRDefault="00D30437" w:rsidP="00485BEC">
            <w:pPr>
              <w:pStyle w:val="ProductList-OfferingBody"/>
              <w:jc w:val="center"/>
              <w:rPr>
                <w:rFonts w:cstheme="minorHAnsi"/>
              </w:rPr>
            </w:pPr>
            <w:bookmarkStart w:id="253" w:name="_Toc178260878"/>
            <w:r w:rsidRPr="00485BEC">
              <w:rPr>
                <w:rFonts w:cstheme="minorHAnsi"/>
              </w:rPr>
              <w:t>10%</w:t>
            </w:r>
            <w:bookmarkEnd w:id="253"/>
          </w:p>
        </w:tc>
      </w:tr>
      <w:tr w:rsidR="00D30437" w:rsidRPr="008A6F08" w14:paraId="058A52B5" w14:textId="77777777" w:rsidTr="00041F55">
        <w:tc>
          <w:tcPr>
            <w:tcW w:w="5395" w:type="dxa"/>
            <w:vAlign w:val="center"/>
          </w:tcPr>
          <w:p w14:paraId="2A263DEE" w14:textId="77777777" w:rsidR="00D30437" w:rsidRPr="00485BEC" w:rsidRDefault="00D30437" w:rsidP="00485BEC">
            <w:pPr>
              <w:pStyle w:val="ProductList-OfferingBody"/>
              <w:jc w:val="center"/>
              <w:rPr>
                <w:rFonts w:cstheme="minorHAnsi"/>
              </w:rPr>
            </w:pPr>
            <w:bookmarkStart w:id="254" w:name="_Toc178260879"/>
            <w:r w:rsidRPr="00485BEC">
              <w:rPr>
                <w:rFonts w:cstheme="minorHAnsi"/>
              </w:rPr>
              <w:t>&lt; 90%</w:t>
            </w:r>
            <w:bookmarkEnd w:id="254"/>
          </w:p>
        </w:tc>
        <w:tc>
          <w:tcPr>
            <w:tcW w:w="5395" w:type="dxa"/>
            <w:vAlign w:val="center"/>
          </w:tcPr>
          <w:p w14:paraId="1822AE6D" w14:textId="77777777" w:rsidR="00D30437" w:rsidRPr="00485BEC" w:rsidRDefault="00D30437" w:rsidP="00485BEC">
            <w:pPr>
              <w:pStyle w:val="ProductList-OfferingBody"/>
              <w:jc w:val="center"/>
              <w:rPr>
                <w:rFonts w:cstheme="minorHAnsi"/>
              </w:rPr>
            </w:pPr>
            <w:bookmarkStart w:id="255" w:name="_Toc178260880"/>
            <w:r w:rsidRPr="00485BEC">
              <w:rPr>
                <w:rFonts w:cstheme="minorHAnsi"/>
              </w:rPr>
              <w:t>30%</w:t>
            </w:r>
            <w:bookmarkEnd w:id="255"/>
          </w:p>
        </w:tc>
      </w:tr>
    </w:tbl>
    <w:p w14:paraId="3A73CBCB" w14:textId="77777777" w:rsidR="00AB785C" w:rsidRPr="00EF7CF9" w:rsidRDefault="00AB785C" w:rsidP="00AB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7520E5" w14:textId="1ABFE816" w:rsidR="00CE29C1" w:rsidRPr="00042CC1" w:rsidRDefault="00CE29C1" w:rsidP="00F01ED6">
      <w:pPr>
        <w:pStyle w:val="ProductList-Offering2Heading"/>
        <w:keepNext/>
        <w:tabs>
          <w:tab w:val="clear" w:pos="360"/>
          <w:tab w:val="clear" w:pos="720"/>
          <w:tab w:val="clear" w:pos="1080"/>
        </w:tabs>
        <w:outlineLvl w:val="2"/>
      </w:pPr>
      <w:bookmarkStart w:id="256" w:name="_Toc214456812"/>
      <w:r>
        <w:t>Grelha de Eventos</w:t>
      </w:r>
      <w:bookmarkEnd w:id="230"/>
      <w:bookmarkEnd w:id="231"/>
      <w:bookmarkEnd w:id="256"/>
    </w:p>
    <w:p w14:paraId="437BE5B4" w14:textId="77777777" w:rsidR="00CE29C1" w:rsidRPr="00042CC1" w:rsidRDefault="00CE29C1" w:rsidP="00F01ED6">
      <w:pPr>
        <w:pStyle w:val="ProductList-Body"/>
      </w:pPr>
      <w:r>
        <w:rPr>
          <w:b/>
          <w:color w:val="00188F"/>
        </w:rPr>
        <w:t>Definições Adicionais</w:t>
      </w:r>
      <w:r w:rsidRPr="00473DD3">
        <w:rPr>
          <w:b/>
          <w:color w:val="00188F"/>
        </w:rPr>
        <w:t>:</w:t>
      </w:r>
    </w:p>
    <w:p w14:paraId="0328158B" w14:textId="36950EC4" w:rsidR="00CE29C1" w:rsidRPr="00AD4F4D"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durante os quais uma Grelha de Eventos foi implementada pelo Cliente numa subscrição do Microsoft Azure durante um Período Aplicável.</w:t>
      </w:r>
    </w:p>
    <w:p w14:paraId="33CF1F3B" w14:textId="01077019" w:rsidR="00CE29C1" w:rsidRPr="00D730E5"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Período de Indisponibilidade</w:t>
      </w:r>
      <w:r>
        <w:rPr>
          <w:rFonts w:eastAsiaTheme="minorEastAsia"/>
          <w:sz w:val="18"/>
          <w:szCs w:val="18"/>
        </w:rPr>
        <w:t>”</w:t>
      </w:r>
      <w:r w:rsidR="00CE29C1">
        <w:rPr>
          <w:rFonts w:eastAsiaTheme="minorEastAsia"/>
          <w:sz w:val="18"/>
          <w:szCs w:val="18"/>
        </w:rPr>
        <w:t xml:space="preserve"> designa o número total de minutos durante o Máximo de Minutos Disponíveis em todas Grelhas de Eventos implementadas pelo Cliente numa determinada subscrição do Microsoft Azure durante a qual a Grelha de Eventos está indisponível. Um minuto é</w:t>
      </w:r>
      <w:r w:rsidR="00D041BB">
        <w:rPr>
          <w:rFonts w:eastAsiaTheme="minorEastAsia"/>
          <w:sz w:val="18"/>
          <w:szCs w:val="18"/>
        </w:rPr>
        <w:t> </w:t>
      </w:r>
      <w:r w:rsidR="00CE29C1">
        <w:rPr>
          <w:rFonts w:eastAsiaTheme="minorEastAsia"/>
          <w:sz w:val="18"/>
          <w:szCs w:val="18"/>
        </w:rPr>
        <w:t>considerado indisponível para uma determinada Grelha de Eventos se todos os pedidos de publicação de uma mensagem devolverem um Código</w:t>
      </w:r>
      <w:r w:rsidR="00D041BB">
        <w:rPr>
          <w:rFonts w:eastAsiaTheme="minorEastAsia"/>
          <w:sz w:val="18"/>
          <w:szCs w:val="18"/>
        </w:rPr>
        <w:t> </w:t>
      </w:r>
      <w:r w:rsidR="00CE29C1">
        <w:rPr>
          <w:rFonts w:eastAsiaTheme="minorEastAsia"/>
          <w:sz w:val="18"/>
          <w:szCs w:val="18"/>
        </w:rPr>
        <w:t>de Erro ou não resultarem num Código de Êxito no prazo de um minuto.</w:t>
      </w:r>
    </w:p>
    <w:p w14:paraId="2BEDFAF2" w14:textId="75DA3EEA" w:rsidR="00CE29C1" w:rsidRDefault="00380305" w:rsidP="00F01ED6">
      <w:pPr>
        <w:pStyle w:val="ProductList-Body"/>
      </w:pPr>
      <w:r>
        <w:t>“</w:t>
      </w:r>
      <w:r w:rsidR="00CE29C1">
        <w:rPr>
          <w:b/>
          <w:color w:val="00188F"/>
        </w:rPr>
        <w:t>Percentagem de Período de Disponibilidade</w:t>
      </w:r>
      <w:r>
        <w:t>”</w:t>
      </w:r>
      <w:r w:rsidR="00CE29C1">
        <w:t>: A Percentagem de Período de Disponibilidade é calculada através da seguinte fórmula:</w:t>
      </w:r>
    </w:p>
    <w:p w14:paraId="79284E66" w14:textId="77968965" w:rsidR="00CE29C1" w:rsidRPr="00D730E5" w:rsidRDefault="00000000" w:rsidP="009F16F1">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548F73" w14:textId="77777777" w:rsidR="00CE29C1" w:rsidRPr="00042CC1" w:rsidRDefault="00CE29C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0E0AC4" w14:textId="77777777" w:rsidR="00CE29C1" w:rsidRPr="00042CC1" w:rsidRDefault="00CE29C1" w:rsidP="00F01ED6">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277097">
        <w:trPr>
          <w:trHeight w:val="175"/>
        </w:trPr>
        <w:tc>
          <w:tcPr>
            <w:tcW w:w="5400" w:type="dxa"/>
          </w:tcPr>
          <w:p w14:paraId="6E2C5EB8" w14:textId="77777777" w:rsidR="00CE29C1" w:rsidRPr="00D730E5" w:rsidRDefault="00CE29C1" w:rsidP="00F01ED6">
            <w:pPr>
              <w:pStyle w:val="ProductList-OfferingBody"/>
              <w:jc w:val="center"/>
            </w:pPr>
            <w:r>
              <w:t>&lt; 99,99%</w:t>
            </w:r>
          </w:p>
        </w:tc>
        <w:tc>
          <w:tcPr>
            <w:tcW w:w="5400" w:type="dxa"/>
          </w:tcPr>
          <w:p w14:paraId="373AB7D9" w14:textId="77777777" w:rsidR="00CE29C1" w:rsidRPr="00D730E5" w:rsidRDefault="00CE29C1" w:rsidP="00F01ED6">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F01ED6">
            <w:pPr>
              <w:pStyle w:val="ProductList-OfferingBody"/>
              <w:jc w:val="center"/>
            </w:pPr>
            <w:r>
              <w:t>&lt; 99%</w:t>
            </w:r>
          </w:p>
        </w:tc>
        <w:tc>
          <w:tcPr>
            <w:tcW w:w="5400" w:type="dxa"/>
          </w:tcPr>
          <w:p w14:paraId="19499F7C" w14:textId="77777777" w:rsidR="00CE29C1" w:rsidRPr="00D730E5" w:rsidRDefault="00CE29C1" w:rsidP="00F01ED6">
            <w:pPr>
              <w:pStyle w:val="ProductList-OfferingBody"/>
              <w:jc w:val="center"/>
            </w:pPr>
            <w:r>
              <w:t>25%</w:t>
            </w:r>
          </w:p>
        </w:tc>
      </w:tr>
    </w:tbl>
    <w:bookmarkStart w:id="257" w:name="_Toc457821571"/>
    <w:bookmarkStart w:id="258" w:name="_Toc52348981"/>
    <w:p w14:paraId="3C9BC4E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125EAC7" w14:textId="77777777" w:rsidR="00A7707E" w:rsidRDefault="00A7707E">
      <w:pPr>
        <w:rPr>
          <w:rFonts w:asciiTheme="majorHAnsi" w:hAnsiTheme="majorHAnsi"/>
          <w:b/>
          <w:color w:val="0072C6"/>
          <w:sz w:val="28"/>
        </w:rPr>
      </w:pPr>
      <w:r>
        <w:br w:type="page"/>
      </w:r>
    </w:p>
    <w:p w14:paraId="70F2A668" w14:textId="43DFF0CE" w:rsidR="00A0487C" w:rsidRPr="00A7707E" w:rsidRDefault="00A0487C" w:rsidP="00A7707E">
      <w:pPr>
        <w:pStyle w:val="ProductList-Offering2Heading"/>
        <w:keepNext/>
        <w:keepLines/>
        <w:tabs>
          <w:tab w:val="clear" w:pos="360"/>
          <w:tab w:val="clear" w:pos="720"/>
          <w:tab w:val="clear" w:pos="1080"/>
        </w:tabs>
        <w:outlineLvl w:val="2"/>
      </w:pPr>
      <w:bookmarkStart w:id="259" w:name="_Toc214456813"/>
      <w:r w:rsidRPr="00A7707E">
        <w:lastRenderedPageBreak/>
        <w:t>Armazenamento Georredundante (GRS) – Replicação com Prioridade</w:t>
      </w:r>
      <w:bookmarkEnd w:id="259"/>
    </w:p>
    <w:p w14:paraId="27E6CF4E"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Este SLA aplica-se a todas as contas de Armazenamento Georredundante ou Armazenamento Geográfico Com Redundância entre Zonas em que a Replicação com Prioridade Geográfica está Ativada.</w:t>
      </w:r>
    </w:p>
    <w:p w14:paraId="5CABAFFC" w14:textId="77777777" w:rsidR="00A0487C" w:rsidRDefault="00A0487C" w:rsidP="00A0487C">
      <w:pPr>
        <w:spacing w:after="0" w:line="240" w:lineRule="auto"/>
        <w:rPr>
          <w:rFonts w:ascii="Calibri" w:eastAsia="Calibri" w:hAnsi="Calibri" w:cs="Calibri"/>
          <w:b/>
          <w:bCs/>
          <w:color w:val="00188F"/>
          <w:sz w:val="18"/>
          <w:szCs w:val="18"/>
        </w:rPr>
      </w:pPr>
    </w:p>
    <w:p w14:paraId="418B4FC8" w14:textId="77777777" w:rsidR="00A0487C" w:rsidRPr="00A15C3C" w:rsidRDefault="00A0487C" w:rsidP="00A0487C">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Definições Adicionais:</w:t>
      </w:r>
    </w:p>
    <w:p w14:paraId="18808174"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Minuto da Hora da Última Sincronização (LST) Excedido</w:t>
      </w:r>
      <w:r>
        <w:rPr>
          <w:rFonts w:ascii="Calibri" w:eastAsia="Times New Roman" w:hAnsi="Calibri" w:cs="Calibri"/>
          <w:sz w:val="18"/>
          <w:szCs w:val="18"/>
        </w:rPr>
        <w:t>” é cada minuto, num mês de faturação, em que a Hora da Última Sincronização da Conta de Armazenamento Georredundante ou da Conta de Armazenamento Geográfico com Redundância Entre Zonas supera os 15 minutos para os dados do Blob de Blocos. </w:t>
      </w:r>
    </w:p>
    <w:p w14:paraId="14F2F1CC"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Geograficamente Redundante (GRS)</w:t>
      </w:r>
      <w:r>
        <w:rPr>
          <w:rFonts w:ascii="Calibri" w:eastAsia="Times New Roman" w:hAnsi="Calibri" w:cs="Calibri"/>
          <w:sz w:val="18"/>
          <w:szCs w:val="18"/>
        </w:rPr>
        <w:t>” é uma conta de armazenamento para a qual os dados são replicados numa Região Primária e, em seguida, replicados de forma assíncrona para uma Região Secundária. O Cliente não pode ler nem escrever dados diretamente na Região Secundária associada às Contas GRS. </w:t>
      </w:r>
    </w:p>
    <w:p w14:paraId="4732CA7E"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Geográfico com Redundância entre Zonas (GZRS)</w:t>
      </w:r>
      <w:r>
        <w:rPr>
          <w:rFonts w:ascii="Calibri" w:eastAsia="Times New Roman" w:hAnsi="Calibri" w:cs="Calibri"/>
          <w:sz w:val="18"/>
          <w:szCs w:val="18"/>
        </w:rPr>
        <w:t>” é uma conta de armazenamento para a qual os dados são replicados em várias instalações através do Armazenamento com Redundância entre Zonas numa Região Primária e, em seguida, replicados de forma assíncrona para uma Região Secundária através do Armazenamento Localmente Redundante. O Cliente não pode ler nem escrever dados diretamente na Região Secundária associada às Contas GZRS. </w:t>
      </w:r>
    </w:p>
    <w:p w14:paraId="028F2423"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Hora da Última Sincronização</w:t>
      </w:r>
      <w:r>
        <w:rPr>
          <w:rFonts w:ascii="Calibri" w:eastAsia="Times New Roman" w:hAnsi="Calibri" w:cs="Calibri"/>
          <w:sz w:val="18"/>
          <w:szCs w:val="18"/>
        </w:rPr>
        <w:t>” indica a última vez que uma sincronização de dados completa da Região Primária foi replicada com êxito para a Região Secundária. Todas as escritas feitas na Região Primária antes da Hora da Última Sincronização estão disponíveis para leitura a partir da Região Secundária. . </w:t>
      </w:r>
    </w:p>
    <w:p w14:paraId="4869F675"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Localmente Redundante (LRS)</w:t>
      </w:r>
      <w:r>
        <w:rPr>
          <w:rFonts w:ascii="Calibri" w:eastAsia="Times New Roman" w:hAnsi="Calibri" w:cs="Calibri"/>
          <w:sz w:val="18"/>
          <w:szCs w:val="18"/>
        </w:rPr>
        <w:t>” designa uma conta de armazenamento para a qual os dados são replicados apenas numa Região Primária. </w:t>
      </w:r>
    </w:p>
    <w:p w14:paraId="2420B2A3"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Máximo de Minutos Disponíveis</w:t>
      </w:r>
      <w:r>
        <w:rPr>
          <w:rFonts w:ascii="Calibri" w:eastAsia="Times New Roman" w:hAnsi="Calibri" w:cs="Calibri"/>
          <w:sz w:val="18"/>
          <w:szCs w:val="18"/>
        </w:rPr>
        <w:t>” é o número total de minutos que uma Conta de Armazenamento Georredundante ou uma Conta de Armazenamento Geográfico com Redundância Entre Zonas com Replicação com Prioridade Geográfica ativada foi implementada pelo Cliente numa subscrição do Microsoft Azure durante um mês de faturação. </w:t>
      </w:r>
    </w:p>
    <w:p w14:paraId="1571D050"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Região Primária</w:t>
      </w:r>
      <w:r>
        <w:rPr>
          <w:rFonts w:ascii="Calibri" w:eastAsia="Times New Roman" w:hAnsi="Calibri" w:cs="Calibri"/>
          <w:sz w:val="18"/>
          <w:szCs w:val="18"/>
        </w:rPr>
        <w:t>” designa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 </w:t>
      </w:r>
    </w:p>
    <w:p w14:paraId="4A515046"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Geograficamente Redundante com Acesso de Leitura (RA-GRS)</w:t>
      </w:r>
      <w:r>
        <w:rPr>
          <w:rFonts w:ascii="Calibri" w:eastAsia="Times New Roman" w:hAnsi="Calibri" w:cs="Calibri"/>
          <w:sz w:val="18"/>
          <w:szCs w:val="18"/>
        </w:rPr>
        <w:t>” designa uma conta de armazenamento para a qual os dados são replicados numa Região Primária e, em seguida, replicados de forma assíncrona para uma Região Secundária. O Cliente pode ler diretamente dados mas não pode escrever dados na Região Secundária associada às Contas RA-GRS. </w:t>
      </w:r>
    </w:p>
    <w:p w14:paraId="2C8164A6"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Geográfico com Redundância entre Zonas e Acesso de Leitura (RA-GZRS)</w:t>
      </w:r>
      <w:r>
        <w:rPr>
          <w:rFonts w:ascii="Calibri" w:eastAsia="Times New Roman" w:hAnsi="Calibri" w:cs="Calibri"/>
          <w:sz w:val="18"/>
          <w:szCs w:val="18"/>
        </w:rPr>
        <w:t>” é uma conta de armazenamento para a qual os dados são replicados em várias instalações através do Armazenamento com Redundância entre Zonas numa Região Primária e, em seguida, replicados de forma assíncrona para uma Região Secundária através do Armazenamento Localmente Redundante. O Cliente pode ler diretamente dados mas não pode escrever dados na Região Secundária associada às Contas RA-GZRS. </w:t>
      </w:r>
    </w:p>
    <w:p w14:paraId="7AFEF843"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Região Secundária</w:t>
      </w:r>
      <w:r>
        <w:rPr>
          <w:rFonts w:ascii="Calibri" w:eastAsia="Times New Roman" w:hAnsi="Calibri" w:cs="Calibri"/>
          <w:sz w:val="18"/>
          <w:szCs w:val="18"/>
        </w:rPr>
        <w:t>” é uma região geográfica onde os dados numa Conta GRS ou GZRS são replicados e armazenados, tal como atribuído pelo Microsoft Azure com base na Região Primária associada à conta de armazenamento. O Cliente não pode especificar a Região Secundária associada às contas de armazenamento. </w:t>
      </w:r>
    </w:p>
    <w:p w14:paraId="228718E1"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Redundante por Zona (ZRS)</w:t>
      </w:r>
      <w:r>
        <w:rPr>
          <w:rFonts w:ascii="Calibri" w:eastAsia="Times New Roman" w:hAnsi="Calibri" w:cs="Calibri"/>
          <w:sz w:val="18"/>
          <w:szCs w:val="18"/>
        </w:rPr>
        <w:t>” designa uma conta de armazenamento para a qual os dados são replicados em múltiplas instalações. Estas instalações podem estar na mesma região geográfica ou em duas regiões geográficas. </w:t>
      </w:r>
    </w:p>
    <w:p w14:paraId="33D23100" w14:textId="77777777" w:rsidR="00A0487C" w:rsidRDefault="00A0487C" w:rsidP="00A0487C">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“Percentagem Mensal de Conformidade”: A Percentagem Mensal de Conformidade é calculada através da seguinte fórmula: </w:t>
      </w:r>
    </w:p>
    <w:p w14:paraId="21AEAEDC" w14:textId="77777777" w:rsidR="00A0487C" w:rsidRPr="00EF7CF9" w:rsidRDefault="00000000" w:rsidP="00A7707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Minuto da Hora da Última sincronização Excedido</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76E9F0" w14:textId="77777777" w:rsidR="00A0487C" w:rsidRPr="0036053F" w:rsidRDefault="00A0487C" w:rsidP="00A0487C">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487C" w:rsidRPr="00B44CF9" w14:paraId="18A509C9" w14:textId="77777777" w:rsidTr="00954FA1">
        <w:trPr>
          <w:trHeight w:val="245"/>
          <w:tblHeader/>
        </w:trPr>
        <w:tc>
          <w:tcPr>
            <w:tcW w:w="5400" w:type="dxa"/>
            <w:shd w:val="clear" w:color="auto" w:fill="0072C6"/>
          </w:tcPr>
          <w:p w14:paraId="7DF988FB" w14:textId="77777777" w:rsidR="00A0487C" w:rsidRPr="0084755E" w:rsidRDefault="00A0487C"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Mensal de Conformidade</w:t>
            </w:r>
          </w:p>
        </w:tc>
        <w:tc>
          <w:tcPr>
            <w:tcW w:w="5400" w:type="dxa"/>
            <w:shd w:val="clear" w:color="auto" w:fill="0072C6"/>
          </w:tcPr>
          <w:p w14:paraId="6908FB7E" w14:textId="77777777" w:rsidR="00A0487C" w:rsidRPr="0084755E" w:rsidRDefault="00A0487C"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A0487C" w:rsidRPr="00B44CF9" w14:paraId="4019CD05" w14:textId="77777777" w:rsidTr="00954FA1">
        <w:trPr>
          <w:trHeight w:val="245"/>
        </w:trPr>
        <w:tc>
          <w:tcPr>
            <w:tcW w:w="5400" w:type="dxa"/>
          </w:tcPr>
          <w:p w14:paraId="0E7524E9" w14:textId="77777777" w:rsidR="00A0487C" w:rsidRPr="0084755E" w:rsidRDefault="00A0487C" w:rsidP="00954FA1">
            <w:pPr>
              <w:pStyle w:val="ProductList-OfferingBody"/>
              <w:jc w:val="center"/>
              <w:rPr>
                <w:rFonts w:ascii="Calibri" w:hAnsi="Calibri" w:cs="Calibri"/>
                <w:szCs w:val="16"/>
              </w:rPr>
            </w:pPr>
            <w:r>
              <w:rPr>
                <w:rFonts w:ascii="Calibri" w:eastAsia="Times New Roman" w:hAnsi="Calibri" w:cs="Calibri"/>
                <w:szCs w:val="16"/>
              </w:rPr>
              <w:t>Menos de 99% e superior ou igual a 95% </w:t>
            </w:r>
          </w:p>
        </w:tc>
        <w:tc>
          <w:tcPr>
            <w:tcW w:w="5400" w:type="dxa"/>
          </w:tcPr>
          <w:p w14:paraId="3F15BDA9" w14:textId="77777777" w:rsidR="00A0487C" w:rsidRPr="0084755E" w:rsidRDefault="00A0487C" w:rsidP="00954FA1">
            <w:pPr>
              <w:pStyle w:val="ProductList-OfferingBody"/>
              <w:jc w:val="center"/>
              <w:rPr>
                <w:rFonts w:ascii="Calibri" w:hAnsi="Calibri" w:cs="Calibri"/>
                <w:szCs w:val="16"/>
              </w:rPr>
            </w:pPr>
            <w:r>
              <w:rPr>
                <w:rFonts w:ascii="Calibri" w:hAnsi="Calibri" w:cs="Calibri"/>
                <w:szCs w:val="16"/>
              </w:rPr>
              <w:t>10%</w:t>
            </w:r>
          </w:p>
        </w:tc>
      </w:tr>
      <w:tr w:rsidR="00A0487C" w:rsidRPr="00B44CF9" w14:paraId="13D6C1D6" w14:textId="77777777" w:rsidTr="00954FA1">
        <w:trPr>
          <w:trHeight w:val="245"/>
        </w:trPr>
        <w:tc>
          <w:tcPr>
            <w:tcW w:w="5400" w:type="dxa"/>
          </w:tcPr>
          <w:p w14:paraId="38DAFD60" w14:textId="77777777" w:rsidR="00A0487C" w:rsidRPr="0084755E" w:rsidRDefault="00A0487C" w:rsidP="00954FA1">
            <w:pPr>
              <w:pStyle w:val="ProductList-OfferingBody"/>
              <w:jc w:val="center"/>
              <w:rPr>
                <w:rFonts w:ascii="Calibri" w:hAnsi="Calibri" w:cs="Calibri"/>
                <w:szCs w:val="16"/>
              </w:rPr>
            </w:pPr>
            <w:r>
              <w:rPr>
                <w:rFonts w:ascii="Calibri" w:eastAsia="Times New Roman" w:hAnsi="Calibri" w:cs="Calibri"/>
                <w:szCs w:val="16"/>
              </w:rPr>
              <w:t>Menos de 95% e superior ou igual a 90% </w:t>
            </w:r>
          </w:p>
        </w:tc>
        <w:tc>
          <w:tcPr>
            <w:tcW w:w="5400" w:type="dxa"/>
          </w:tcPr>
          <w:p w14:paraId="44372D6F" w14:textId="77777777" w:rsidR="00A0487C" w:rsidRPr="0084755E" w:rsidRDefault="00A0487C" w:rsidP="00954FA1">
            <w:pPr>
              <w:pStyle w:val="ProductList-OfferingBody"/>
              <w:jc w:val="center"/>
              <w:rPr>
                <w:rFonts w:ascii="Calibri" w:hAnsi="Calibri" w:cs="Calibri"/>
                <w:szCs w:val="16"/>
              </w:rPr>
            </w:pPr>
            <w:r>
              <w:rPr>
                <w:rFonts w:ascii="Calibri" w:hAnsi="Calibri" w:cs="Calibri"/>
                <w:szCs w:val="16"/>
              </w:rPr>
              <w:t>25%</w:t>
            </w:r>
          </w:p>
        </w:tc>
      </w:tr>
      <w:tr w:rsidR="00A0487C" w:rsidRPr="00B44CF9" w14:paraId="669D611B" w14:textId="77777777" w:rsidTr="00954FA1">
        <w:trPr>
          <w:trHeight w:val="245"/>
        </w:trPr>
        <w:tc>
          <w:tcPr>
            <w:tcW w:w="5400" w:type="dxa"/>
          </w:tcPr>
          <w:p w14:paraId="30D6DF4C" w14:textId="77777777" w:rsidR="00A0487C" w:rsidRPr="0084755E" w:rsidRDefault="00A0487C" w:rsidP="00954FA1">
            <w:pPr>
              <w:pStyle w:val="ProductList-OfferingBody"/>
              <w:jc w:val="center"/>
              <w:rPr>
                <w:rFonts w:ascii="Calibri" w:hAnsi="Calibri" w:cs="Calibri"/>
                <w:szCs w:val="16"/>
              </w:rPr>
            </w:pPr>
            <w:r>
              <w:rPr>
                <w:rFonts w:ascii="Calibri" w:eastAsia="Times New Roman" w:hAnsi="Calibri" w:cs="Calibri"/>
                <w:szCs w:val="16"/>
              </w:rPr>
              <w:t>&lt;90% </w:t>
            </w:r>
          </w:p>
        </w:tc>
        <w:tc>
          <w:tcPr>
            <w:tcW w:w="5400" w:type="dxa"/>
          </w:tcPr>
          <w:p w14:paraId="3E41350F" w14:textId="77777777" w:rsidR="00A0487C" w:rsidRPr="0084755E" w:rsidRDefault="00A0487C" w:rsidP="00954FA1">
            <w:pPr>
              <w:pStyle w:val="ProductList-OfferingBody"/>
              <w:jc w:val="center"/>
              <w:rPr>
                <w:rFonts w:ascii="Calibri" w:hAnsi="Calibri" w:cs="Calibri"/>
                <w:szCs w:val="16"/>
              </w:rPr>
            </w:pPr>
            <w:r>
              <w:rPr>
                <w:rFonts w:ascii="Calibri" w:hAnsi="Calibri" w:cs="Calibri"/>
                <w:szCs w:val="16"/>
              </w:rPr>
              <w:t>100%</w:t>
            </w:r>
          </w:p>
        </w:tc>
      </w:tr>
    </w:tbl>
    <w:p w14:paraId="3EA32EC9" w14:textId="77777777" w:rsidR="00A0487C" w:rsidRDefault="00A0487C" w:rsidP="00A0487C">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Exceções de Nível de Serviço:</w:t>
      </w:r>
      <w:r>
        <w:rPr>
          <w:rFonts w:ascii="Calibri" w:eastAsia="Times New Roman" w:hAnsi="Calibri" w:cs="Calibri"/>
          <w:color w:val="000000"/>
          <w:sz w:val="18"/>
          <w:szCs w:val="18"/>
        </w:rPr>
        <w:t xml:space="preserve"> Este SLA não se aplica a (i) contas de Armazenamento que não tenham a Replicação com Prioridade Geográfica ativada, (ii) contas de Armazenamento em que tenham sido feitas chamadas à API de blobs de acréscimo ou de páginas nos últimos 30 dias, (iii) contas de Armazenamento com uma Hora da Última Sincronização superior a 15 minutos de atraso ao ativar a Replicação com Prioridade Geográfica não serão elegíveis até a Hora da Última Sincronização da conta ser inferior ou igual a 15 minutos de atraso ou (iv) durante períodos de tempo em que (a) a taxa de transferência de dados do Cliente exceda 1 gigabit por segundo (Gbps) e o registo de tarefas pendentes resultante esteja a ser replicada ou (b) o pedido de blobs de cópia do Cliente exceda 100 pedidos de CopyBlob por segundo e o registo de tarefas pendentes resultante de escritas esteja a ser replicado.</w:t>
      </w:r>
    </w:p>
    <w:p w14:paraId="43268AA5" w14:textId="77777777" w:rsidR="00A7707E" w:rsidRPr="00EF7CF9" w:rsidRDefault="00A7707E" w:rsidP="00A770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4E361F15" w14:textId="34443528" w:rsidR="00795604" w:rsidRPr="00EF7CF9" w:rsidRDefault="00795604" w:rsidP="00DB5453">
      <w:pPr>
        <w:pStyle w:val="ProductList-Offering2Heading"/>
        <w:keepNext/>
        <w:keepLines/>
        <w:tabs>
          <w:tab w:val="clear" w:pos="360"/>
          <w:tab w:val="clear" w:pos="720"/>
          <w:tab w:val="clear" w:pos="1080"/>
        </w:tabs>
        <w:outlineLvl w:val="2"/>
      </w:pPr>
      <w:bookmarkStart w:id="260" w:name="_Toc214456814"/>
      <w:r>
        <w:lastRenderedPageBreak/>
        <w:t>Hubs de Eventos</w:t>
      </w:r>
      <w:bookmarkEnd w:id="257"/>
      <w:bookmarkEnd w:id="258"/>
      <w:bookmarkEnd w:id="260"/>
    </w:p>
    <w:p w14:paraId="0D535102" w14:textId="77777777" w:rsidR="00795604" w:rsidRPr="00EF7CF9" w:rsidRDefault="00795604" w:rsidP="00DB5453">
      <w:pPr>
        <w:pStyle w:val="ProductList-Body"/>
        <w:keepNext/>
        <w:keepLines/>
      </w:pPr>
      <w:r>
        <w:rPr>
          <w:b/>
          <w:color w:val="00188F"/>
        </w:rPr>
        <w:t>Definições Adicionais</w:t>
      </w:r>
      <w:r w:rsidRPr="00473DD3">
        <w:rPr>
          <w:b/>
          <w:color w:val="00188F"/>
        </w:rPr>
        <w:t>:</w:t>
      </w:r>
    </w:p>
    <w:p w14:paraId="50576E2D" w14:textId="2AEC763C" w:rsidR="00795604" w:rsidRPr="00EF7CF9" w:rsidRDefault="00380305" w:rsidP="00F01ED6">
      <w:pPr>
        <w:pStyle w:val="ProductList-Body"/>
      </w:pPr>
      <w:r>
        <w:t>“</w:t>
      </w:r>
      <w:r w:rsidR="00795604">
        <w:rPr>
          <w:b/>
          <w:color w:val="00188F"/>
        </w:rPr>
        <w:t>Mensagem</w:t>
      </w:r>
      <w:r>
        <w:t>”</w:t>
      </w:r>
      <w:r w:rsidR="00795604">
        <w:t xml:space="preserve"> designa qualquer conteúdo definido pelo utilizador que seja enviado ou recebido através de Reencaminhamentos de Barramento de</w:t>
      </w:r>
      <w:r w:rsidR="00592D0C">
        <w:t> </w:t>
      </w:r>
      <w:r w:rsidR="00795604">
        <w:t>Serviço, Filas, Tópicos ou Hubs de Notificação e que utilize qualquer protocolo suportado pelo Service Bus.</w:t>
      </w:r>
    </w:p>
    <w:p w14:paraId="452A93E2" w14:textId="2F3870B2" w:rsidR="00795604" w:rsidRPr="00ED4527" w:rsidRDefault="00EE6E3C" w:rsidP="00F01ED6">
      <w:pPr>
        <w:pStyle w:val="ProductList-Body"/>
        <w:spacing w:before="120"/>
        <w:rPr>
          <w:b/>
          <w:bCs/>
          <w:color w:val="00188F"/>
        </w:rPr>
      </w:pPr>
      <w:r>
        <w:rPr>
          <w:b/>
          <w:bCs/>
          <w:color w:val="00188F"/>
        </w:rPr>
        <w:t>Cálculo do Período de Disponibilidade e Níveis de Serviço para Hubs de Eventos nas camadas Basic e Standard</w:t>
      </w:r>
    </w:p>
    <w:p w14:paraId="0D780F49" w14:textId="4829F4AD" w:rsidR="00795604" w:rsidRPr="00EF7CF9" w:rsidRDefault="00380305" w:rsidP="00F01ED6">
      <w:pPr>
        <w:pStyle w:val="ProductList-Body"/>
      </w:pPr>
      <w:r>
        <w:t>“</w:t>
      </w:r>
      <w:r w:rsidR="00795604">
        <w:rPr>
          <w:b/>
          <w:color w:val="00188F"/>
        </w:rPr>
        <w:t>Minutos de Implementação</w:t>
      </w:r>
      <w:r>
        <w:t>”</w:t>
      </w:r>
      <w:r w:rsidR="00795604">
        <w:t xml:space="preserve"> designa o número total de minutos durante os quais um determinado Hub de Eventos foi implementado no Microsoft Azure durante um Período Aplicável.</w:t>
      </w:r>
    </w:p>
    <w:p w14:paraId="5B4F51F2" w14:textId="378F34B5" w:rsidR="00795604" w:rsidRPr="00EF7CF9" w:rsidRDefault="00380305" w:rsidP="00F01ED6">
      <w:pPr>
        <w:pStyle w:val="ProductList-Body"/>
      </w:pPr>
      <w:r>
        <w:t>“</w:t>
      </w:r>
      <w:r w:rsidR="00795604">
        <w:rPr>
          <w:b/>
          <w:color w:val="00188F"/>
        </w:rPr>
        <w:t>Máximo de Minutos Disponíveis</w:t>
      </w:r>
      <w:r>
        <w:t>”</w:t>
      </w:r>
      <w:r w:rsidR="00795604">
        <w:t xml:space="preserve"> designa a soma de todos os Minutos de Implementação em todos os Hubs de Eventos implementados pelo Cliente numa determinada subscrição do Microsoft Azure nas camadas Basic ou Standard dos Hubs de Eventos durante um Período Aplicável.</w:t>
      </w:r>
    </w:p>
    <w:p w14:paraId="0D07A3EF" w14:textId="77777777" w:rsidR="00795604" w:rsidRPr="00E80B8A" w:rsidRDefault="00795604" w:rsidP="00F01ED6">
      <w:pPr>
        <w:pStyle w:val="ProductList-Body"/>
        <w:rPr>
          <w:spacing w:val="-3"/>
        </w:rPr>
      </w:pPr>
      <w:r w:rsidRPr="00E80B8A">
        <w:rPr>
          <w:b/>
          <w:color w:val="00188F"/>
          <w:spacing w:val="-3"/>
        </w:rPr>
        <w:t>Período de Indisponibilidade</w:t>
      </w:r>
      <w:r w:rsidRPr="00473DD3">
        <w:rPr>
          <w:b/>
          <w:color w:val="00188F"/>
          <w:spacing w:val="-3"/>
        </w:rPr>
        <w:t>:</w:t>
      </w:r>
      <w:r w:rsidRPr="00E80B8A">
        <w:rPr>
          <w:spacing w:val="-3"/>
        </w:rP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sidRPr="00E80B8A">
        <w:rPr>
          <w:rFonts w:cs="Segoe UI"/>
          <w:spacing w:val="-3"/>
        </w:rPr>
        <w:t xml:space="preserve">Hub de </w:t>
      </w:r>
      <w:r w:rsidRPr="00E80B8A">
        <w:rPr>
          <w:spacing w:val="-3"/>
        </w:rPr>
        <w:t>Eventos nesse minuto devolverem um Código de Erro ou não resultarem num Código de Êxito num prazo de cinco minutos.</w:t>
      </w:r>
    </w:p>
    <w:p w14:paraId="7928B454" w14:textId="1BC237BC" w:rsidR="0079560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8F5FD93" w14:textId="0731BE94" w:rsidR="00795604" w:rsidRPr="00EF7CF9" w:rsidRDefault="00000000" w:rsidP="00FB5D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00DC91E" w14:textId="77777777" w:rsidR="00795604" w:rsidRPr="00E80B8A" w:rsidRDefault="00795604" w:rsidP="00F01ED6">
      <w:pPr>
        <w:pStyle w:val="ProductList-Body"/>
        <w:rPr>
          <w:spacing w:val="-2"/>
        </w:rPr>
      </w:pPr>
      <w:r w:rsidRPr="00E80B8A">
        <w:rPr>
          <w:b/>
          <w:color w:val="00188F"/>
          <w:spacing w:val="-2"/>
        </w:rPr>
        <w:t>Os seguintes Níveis de Serviço e Créditos de Serviço são aplicáveis à utilização que o Cliente faz das camadas Basic e Standard dos Hubs de Eventos</w:t>
      </w:r>
      <w:r w:rsidRPr="00473DD3">
        <w:rPr>
          <w:b/>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19E93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277097">
        <w:tc>
          <w:tcPr>
            <w:tcW w:w="5400" w:type="dxa"/>
          </w:tcPr>
          <w:p w14:paraId="5B48BEC8" w14:textId="77777777" w:rsidR="00795604" w:rsidRPr="00EF7CF9" w:rsidRDefault="00795604" w:rsidP="00F01ED6">
            <w:pPr>
              <w:pStyle w:val="ProductList-OfferingBody"/>
              <w:jc w:val="center"/>
            </w:pPr>
            <w:r>
              <w:t>&lt; 99,95%</w:t>
            </w:r>
          </w:p>
        </w:tc>
        <w:tc>
          <w:tcPr>
            <w:tcW w:w="5400" w:type="dxa"/>
          </w:tcPr>
          <w:p w14:paraId="10CBE3D0" w14:textId="77777777" w:rsidR="00795604" w:rsidRPr="00EF7CF9" w:rsidRDefault="00795604" w:rsidP="00F01ED6">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F01ED6">
            <w:pPr>
              <w:pStyle w:val="ProductList-OfferingBody"/>
              <w:jc w:val="center"/>
            </w:pPr>
            <w:r>
              <w:t>&lt; 99%</w:t>
            </w:r>
          </w:p>
        </w:tc>
        <w:tc>
          <w:tcPr>
            <w:tcW w:w="5400" w:type="dxa"/>
          </w:tcPr>
          <w:p w14:paraId="41FBFCB3" w14:textId="77777777" w:rsidR="00795604" w:rsidRPr="00EF7CF9" w:rsidRDefault="00795604" w:rsidP="00F01ED6">
            <w:pPr>
              <w:pStyle w:val="ProductList-OfferingBody"/>
              <w:jc w:val="center"/>
            </w:pPr>
            <w:r>
              <w:t>25%</w:t>
            </w:r>
          </w:p>
        </w:tc>
      </w:tr>
    </w:tbl>
    <w:p w14:paraId="36DAB40C" w14:textId="17D51539" w:rsidR="00795604" w:rsidRPr="00ED4527" w:rsidRDefault="00EE6E3C" w:rsidP="00F01ED6">
      <w:pPr>
        <w:pStyle w:val="ProductList-Body"/>
        <w:spacing w:before="240"/>
        <w:rPr>
          <w:b/>
          <w:bCs/>
          <w:color w:val="00188F"/>
        </w:rPr>
      </w:pPr>
      <w:r>
        <w:rPr>
          <w:b/>
          <w:bCs/>
          <w:color w:val="00188F"/>
        </w:rPr>
        <w:t>Cálculo do Período de Disponibilidade e Níveis de Serviço para Hubs de Eventos nas camadas Premium e Dedicada</w:t>
      </w:r>
    </w:p>
    <w:p w14:paraId="7F3A0014" w14:textId="20A1C363" w:rsidR="00795604" w:rsidRPr="00ED4527" w:rsidRDefault="00380305" w:rsidP="00F01ED6">
      <w:pPr>
        <w:pStyle w:val="ProductList-Body"/>
        <w:rPr>
          <w:color w:val="000000" w:themeColor="text1"/>
        </w:rPr>
      </w:pPr>
      <w:r>
        <w:rPr>
          <w:color w:val="000000" w:themeColor="text1"/>
        </w:rPr>
        <w:t>“</w:t>
      </w:r>
      <w:r w:rsidR="00795604">
        <w:rPr>
          <w:b/>
          <w:bCs/>
          <w:color w:val="00188F"/>
        </w:rPr>
        <w:t>Minutos de Implementação</w:t>
      </w:r>
      <w:r>
        <w:rPr>
          <w:color w:val="000000" w:themeColor="text1"/>
        </w:rPr>
        <w:t>”</w:t>
      </w:r>
      <w:r w:rsidR="00795604">
        <w:rPr>
          <w:color w:val="000000" w:themeColor="text1"/>
        </w:rPr>
        <w:t xml:space="preserve"> designa o número total de minutos durante os quais um determinado Hub de Eventos foi implementado no Microsoft Azure durante um Período Aplicável.</w:t>
      </w:r>
    </w:p>
    <w:p w14:paraId="6F2209A8" w14:textId="25AD3E70" w:rsidR="00795604" w:rsidRPr="00ED4527" w:rsidRDefault="00380305" w:rsidP="00F01ED6">
      <w:pPr>
        <w:pStyle w:val="ProductList-Body"/>
        <w:rPr>
          <w:color w:val="000000" w:themeColor="text1"/>
        </w:rPr>
      </w:pPr>
      <w:r>
        <w:rPr>
          <w:color w:val="000000" w:themeColor="text1"/>
        </w:rPr>
        <w:t>“</w:t>
      </w:r>
      <w:r w:rsidR="00795604">
        <w:rPr>
          <w:b/>
          <w:bCs/>
          <w:color w:val="00188F"/>
        </w:rPr>
        <w:t>Máximo de Minutos Disponíveis</w:t>
      </w:r>
      <w:r>
        <w:rPr>
          <w:color w:val="000000" w:themeColor="text1"/>
        </w:rPr>
        <w:t>”</w:t>
      </w:r>
      <w:r w:rsidR="00795604">
        <w:rPr>
          <w:color w:val="000000" w:themeColor="text1"/>
        </w:rPr>
        <w:t xml:space="preserve"> designa a soma de todos os Minutos de Implementação em todos os Hubs de Eventos implementados pelo Cliente numa determinada subscrição do Microsoft Azure nas camadas Premium ou Dedicada dos Hubs de Eventos durante um Período Aplicável.</w:t>
      </w:r>
    </w:p>
    <w:p w14:paraId="07D95EC2" w14:textId="69151520" w:rsidR="00795604" w:rsidRPr="00ED4527" w:rsidRDefault="00380305" w:rsidP="00F01ED6">
      <w:pPr>
        <w:pStyle w:val="ProductList-Body"/>
        <w:rPr>
          <w:color w:val="000000" w:themeColor="text1"/>
        </w:rPr>
      </w:pPr>
      <w:r>
        <w:rPr>
          <w:color w:val="000000" w:themeColor="text1"/>
        </w:rPr>
        <w:t>“</w:t>
      </w:r>
      <w:r w:rsidR="00795604">
        <w:rPr>
          <w:b/>
          <w:bCs/>
          <w:color w:val="00188F"/>
        </w:rPr>
        <w:t>Período de Indisponibilidade</w:t>
      </w:r>
      <w:r>
        <w:rPr>
          <w:color w:val="000000" w:themeColor="text1"/>
        </w:rPr>
        <w:t>”</w:t>
      </w:r>
      <w:r w:rsidR="00795604">
        <w:rPr>
          <w:color w:val="000000" w:themeColor="text1"/>
        </w:rPr>
        <w:t xml:space="preserve"> designa o total de Minutos de Implementação acumulados, em todos os Hubs de Eventos implementados pelo Cliente numa determinada subscrição do Microsoft Azure nas camadas Premium ou Dedicada dos Hubs de Eventos, no qual o Hub de Eventos está indisponível. Um minuto é considerado indisponível para um determinado Hub de Eventos se todas as tentativas contínuas para enviar ou receber Mensagens ou executar outras operações no Hub de Eventos nesse minuto devolverem um Código de Erro ou não resultarem num Código de Êxito num prazo de cinco minutos.</w:t>
      </w:r>
    </w:p>
    <w:p w14:paraId="3914DB2B" w14:textId="66AB1FDC" w:rsidR="00795604" w:rsidRDefault="00380305" w:rsidP="00F01ED6">
      <w:pPr>
        <w:pStyle w:val="ProductList-Body"/>
        <w:rPr>
          <w:color w:val="000000" w:themeColor="text1"/>
        </w:rPr>
      </w:pPr>
      <w:r>
        <w:rPr>
          <w:color w:val="000000" w:themeColor="text1"/>
        </w:rPr>
        <w:t>“</w:t>
      </w:r>
      <w:r w:rsidR="00795604">
        <w:rPr>
          <w:b/>
          <w:bCs/>
          <w:color w:val="00188F"/>
        </w:rPr>
        <w:t>Percentagem de Período de Disponibilidade</w:t>
      </w:r>
      <w:r>
        <w:rPr>
          <w:color w:val="000000" w:themeColor="text1"/>
        </w:rPr>
        <w:t>”</w:t>
      </w:r>
      <w:r w:rsidR="00795604">
        <w:rPr>
          <w:color w:val="000000" w:themeColor="text1"/>
        </w:rPr>
        <w:t xml:space="preserve"> para os Hubs de Eventos é calculada como o Máximo de Minutos Disponíveis menos o Período de</w:t>
      </w:r>
      <w:r w:rsidR="00796379">
        <w:rPr>
          <w:color w:val="000000" w:themeColor="text1"/>
        </w:rPr>
        <w:t> </w:t>
      </w:r>
      <w:r w:rsidR="00795604">
        <w:rPr>
          <w:color w:val="000000" w:themeColor="text1"/>
        </w:rPr>
        <w:t>Indisponibilidade a dividir pelo Máximo de Minutos Disponíveis num Período Aplicável para uma determinada subscrição do Microsoft Azure.</w:t>
      </w:r>
    </w:p>
    <w:p w14:paraId="7028DE47" w14:textId="7414BE93" w:rsidR="00795604" w:rsidRDefault="00AC48A7" w:rsidP="00F01ED6">
      <w:pPr>
        <w:pStyle w:val="ProductList-Body"/>
        <w:rPr>
          <w:color w:val="000000" w:themeColor="text1"/>
        </w:rPr>
      </w:pPr>
      <w:r>
        <w:rPr>
          <w:color w:val="000000" w:themeColor="text1"/>
        </w:rPr>
        <w:t>A Percentagem de Período de Disponibilidade é representada pela seguinte fórmula:</w:t>
      </w:r>
    </w:p>
    <w:p w14:paraId="53424A05" w14:textId="37D157AE" w:rsidR="00795604" w:rsidRPr="00EF7CF9" w:rsidRDefault="00000000" w:rsidP="00FB5D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11E8A31" w14:textId="77777777" w:rsidR="00795604" w:rsidRPr="00EF7CF9" w:rsidRDefault="00795604" w:rsidP="00F01ED6">
      <w:pPr>
        <w:pStyle w:val="ProductList-Body"/>
      </w:pPr>
      <w:r>
        <w:rPr>
          <w:b/>
          <w:color w:val="00188F"/>
        </w:rPr>
        <w:t>Os seguintes Níveis de Serviço e Créditos de Serviço são aplicáveis à utilização que o Cliente faz das camadas Premium ou Dedicada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C2EA9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277097">
        <w:tc>
          <w:tcPr>
            <w:tcW w:w="5400" w:type="dxa"/>
          </w:tcPr>
          <w:p w14:paraId="0CDDF050" w14:textId="77777777" w:rsidR="00795604" w:rsidRPr="00EF7CF9" w:rsidRDefault="00795604" w:rsidP="00F01ED6">
            <w:pPr>
              <w:pStyle w:val="ProductList-OfferingBody"/>
              <w:jc w:val="center"/>
            </w:pPr>
            <w:r>
              <w:t>&lt; 99,99%</w:t>
            </w:r>
          </w:p>
        </w:tc>
        <w:tc>
          <w:tcPr>
            <w:tcW w:w="5400" w:type="dxa"/>
          </w:tcPr>
          <w:p w14:paraId="3958ED47" w14:textId="77777777" w:rsidR="00795604" w:rsidRPr="00EF7CF9" w:rsidRDefault="00795604" w:rsidP="00F01ED6">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F01ED6">
            <w:pPr>
              <w:pStyle w:val="ProductList-OfferingBody"/>
              <w:jc w:val="center"/>
            </w:pPr>
            <w:r>
              <w:t>&lt; 99%</w:t>
            </w:r>
          </w:p>
        </w:tc>
        <w:tc>
          <w:tcPr>
            <w:tcW w:w="5400" w:type="dxa"/>
          </w:tcPr>
          <w:p w14:paraId="1EC0B0C5" w14:textId="77777777" w:rsidR="00795604" w:rsidRPr="00EF7CF9" w:rsidRDefault="00795604" w:rsidP="00F01ED6">
            <w:pPr>
              <w:pStyle w:val="ProductList-OfferingBody"/>
              <w:jc w:val="center"/>
            </w:pPr>
            <w:r>
              <w:t>25%</w:t>
            </w:r>
          </w:p>
        </w:tc>
      </w:tr>
    </w:tbl>
    <w:bookmarkStart w:id="261" w:name="_Toc457821550"/>
    <w:bookmarkStart w:id="262" w:name="_Toc52348954"/>
    <w:p w14:paraId="6F94C33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F899C39" w14:textId="77777777" w:rsidR="000D47D0" w:rsidRPr="00EF7CF9" w:rsidRDefault="000D47D0" w:rsidP="00F01ED6">
      <w:pPr>
        <w:pStyle w:val="ProductList-Offering2Heading"/>
        <w:tabs>
          <w:tab w:val="clear" w:pos="360"/>
          <w:tab w:val="clear" w:pos="720"/>
          <w:tab w:val="clear" w:pos="1080"/>
        </w:tabs>
        <w:outlineLvl w:val="2"/>
      </w:pPr>
      <w:bookmarkStart w:id="263" w:name="_Toc214456815"/>
      <w:r>
        <w:t xml:space="preserve">Azure </w:t>
      </w:r>
      <w:bookmarkStart w:id="264" w:name="_Hlk119927884"/>
      <w:r>
        <w:t>ExpressRoute</w:t>
      </w:r>
      <w:bookmarkEnd w:id="261"/>
      <w:bookmarkEnd w:id="262"/>
      <w:bookmarkEnd w:id="263"/>
      <w:bookmarkEnd w:id="264"/>
    </w:p>
    <w:p w14:paraId="7D3B0AEC" w14:textId="77777777" w:rsidR="000D47D0" w:rsidRPr="00EF7CF9" w:rsidRDefault="000D47D0" w:rsidP="00F01ED6">
      <w:pPr>
        <w:pStyle w:val="ProductList-Body"/>
        <w:rPr>
          <w:b/>
          <w:color w:val="00188F"/>
        </w:rPr>
      </w:pPr>
      <w:r>
        <w:rPr>
          <w:b/>
          <w:color w:val="00188F"/>
        </w:rPr>
        <w:t>Definições Adicionais</w:t>
      </w:r>
      <w:r w:rsidRPr="00473DD3">
        <w:rPr>
          <w:b/>
          <w:color w:val="00188F"/>
        </w:rPr>
        <w:t>:</w:t>
      </w:r>
    </w:p>
    <w:p w14:paraId="40F4595E"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Ligação</w:t>
      </w:r>
      <w:r w:rsidRPr="00C730A5">
        <w:rPr>
          <w:rFonts w:ascii="Calibri" w:eastAsia="Calibri" w:hAnsi="Calibri" w:cs="Arial"/>
          <w:sz w:val="18"/>
        </w:rPr>
        <w:t>” é o objeto do Azure que associa o Gateway do ExpressRoute a um Circuito Dedicado. Para este SLA, um Gateway do ExpressRoute pode ter Ligações a vários Circuitos Dedicados.</w:t>
      </w:r>
    </w:p>
    <w:p w14:paraId="7915437C"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Circuito Dedicado</w:t>
      </w:r>
      <w:r w:rsidRPr="00C730A5">
        <w:rPr>
          <w:rFonts w:ascii="Calibri" w:eastAsia="Calibri" w:hAnsi="Calibri" w:cs="Arial"/>
          <w:sz w:val="18"/>
        </w:rPr>
        <w:t>” designa uma representação lógica da conectividade oferecida através do Serviço ExpressRoute entre as instalações do Cliente e o Microsoft Azure através de um fornecedor de conectividade ExpressRoute ou diretamente através de uma Porta Direta do ExpressRoute, onde esta conectividade não passa pela Internet pública.</w:t>
      </w:r>
    </w:p>
    <w:p w14:paraId="3FCAF22B"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Período de Indisponibilidade</w:t>
      </w:r>
      <w:r w:rsidRPr="00C730A5">
        <w:rPr>
          <w:rFonts w:ascii="Calibri" w:eastAsia="Calibri" w:hAnsi="Calibri" w:cs="Arial"/>
          <w:sz w:val="18"/>
        </w:rPr>
        <w:t xml:space="preserve">” é o total de minutos acumulados durante um Período Aplicável para uma determinada subscrição do Microsoft Azure, no qual o Circuito Dedicado está indisponível. Um minuto é considerado indisponível para um determinado Circuito Dedicado se todas as tentativas levadas a cabo pelo Cliente nesse minuto para estabelecer conectividade ao nível de IP ao Gateway do Express Route associado à Rede </w:t>
      </w:r>
      <w:r w:rsidRPr="00C730A5">
        <w:rPr>
          <w:rFonts w:ascii="Calibri" w:eastAsia="Calibri" w:hAnsi="Calibri" w:cs="Arial"/>
          <w:sz w:val="18"/>
        </w:rPr>
        <w:lastRenderedPageBreak/>
        <w:t>Virtual falharem durante mais de trinta segundos. O tráfego que flui através de um Circuito Dedicado alternativo numa Configuração de 2 ou Mais Sites não seria considerado período de indisponibilidade para o Circuito Dedicado inativo nesta configuração.</w:t>
      </w:r>
    </w:p>
    <w:p w14:paraId="67B93ADA"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Gateway ER</w:t>
      </w:r>
      <w:r w:rsidRPr="00C730A5">
        <w:rPr>
          <w:rFonts w:ascii="Calibri" w:eastAsia="Calibri" w:hAnsi="Calibri" w:cs="Arial"/>
          <w:sz w:val="18"/>
        </w:rPr>
        <w:t>” designa um Gateway de Rede Virtual que facilita a conectividade em vários sites entre uma Rede Virtual e um Circuito Dedicado.</w:t>
      </w:r>
    </w:p>
    <w:p w14:paraId="4813B83A"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Localização de Peering Metropolitano</w:t>
      </w:r>
      <w:r w:rsidRPr="00C730A5">
        <w:rPr>
          <w:rFonts w:ascii="Calibri" w:eastAsia="Calibri" w:hAnsi="Calibri" w:cs="Arial"/>
          <w:sz w:val="18"/>
        </w:rPr>
        <w:t>” é o nome da localidade, incluindo a etiqueta “Metropolitano” que indica que um Circuito Dedicado com esta Localização de Peering Metropolitano chega a duas localizações de peering nessa cidade. Por exemplo, Washington DC Metro, Sydney Metro teriam ligações a dois sites de peering não Metropolitanas nessas cidades.</w:t>
      </w:r>
    </w:p>
    <w:p w14:paraId="378F6CA7"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Máximo de Minutos Disponíveis</w:t>
      </w:r>
      <w:r w:rsidRPr="00C730A5">
        <w:rPr>
          <w:rFonts w:ascii="Calibri" w:eastAsia="Calibri" w:hAnsi="Calibri" w:cs="Arial"/>
          <w:sz w:val="18"/>
        </w:rPr>
        <w:t>” é o número total de minutos que um determinado Circuito Dedicado está ligado a uma ou mais Redes Virtuais no Microsoft Azure durante um Período Aplicável numa determinada subscrição do Microsoft Azure.</w:t>
      </w:r>
    </w:p>
    <w:p w14:paraId="14480582"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Rede Virtual</w:t>
      </w:r>
      <w:r w:rsidRPr="00C730A5">
        <w:rPr>
          <w:rFonts w:ascii="Calibri" w:eastAsia="Calibri" w:hAnsi="Calibri" w:cs="Arial"/>
          <w:sz w:val="18"/>
        </w:rPr>
        <w:t>” designa uma rede privada virtual que inclui uma coleção de endereços IP definidos pelo utilizador e sub-redes que formam um limite da rede no Microsoft Azure.</w:t>
      </w:r>
    </w:p>
    <w:p w14:paraId="2A08009A" w14:textId="77777777" w:rsidR="003D5599" w:rsidRPr="00C730A5" w:rsidDel="00AA2D86" w:rsidRDefault="003D5599" w:rsidP="003D5599">
      <w:pPr>
        <w:tabs>
          <w:tab w:val="left" w:pos="360"/>
          <w:tab w:val="left" w:pos="720"/>
          <w:tab w:val="left" w:pos="1080"/>
        </w:tabs>
        <w:spacing w:after="0" w:line="240" w:lineRule="auto"/>
        <w:rPr>
          <w:rFonts w:ascii="Calibri" w:eastAsia="Calibri" w:hAnsi="Calibri" w:cs="Arial"/>
          <w:sz w:val="18"/>
        </w:rPr>
      </w:pPr>
    </w:p>
    <w:p w14:paraId="100BEC84" w14:textId="77777777" w:rsidR="003D5599" w:rsidRPr="00C730A5" w:rsidDel="00B90AF1"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sz w:val="18"/>
        </w:rPr>
        <w:t>O SLA do ExpressRoute tem três categorias:</w:t>
      </w:r>
    </w:p>
    <w:p w14:paraId="347D2BE4"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C730A5">
        <w:rPr>
          <w:rFonts w:ascii="Calibri" w:eastAsia="Calibri" w:hAnsi="Calibri" w:cs="Arial"/>
          <w:sz w:val="18"/>
          <w:szCs w:val="18"/>
        </w:rPr>
        <w:t>“</w:t>
      </w:r>
      <w:r w:rsidRPr="00C730A5">
        <w:rPr>
          <w:rFonts w:ascii="Calibri" w:eastAsia="Calibri" w:hAnsi="Calibri" w:cs="Arial"/>
          <w:b/>
          <w:bCs/>
          <w:color w:val="00188F"/>
          <w:sz w:val="18"/>
          <w:szCs w:val="18"/>
        </w:rPr>
        <w:t>Configuração de 2 ou Mais Locais</w:t>
      </w:r>
      <w:r w:rsidRPr="00C730A5">
        <w:rPr>
          <w:rFonts w:ascii="Calibri" w:eastAsia="Calibri" w:hAnsi="Calibri" w:cs="Arial"/>
          <w:sz w:val="18"/>
          <w:szCs w:val="18"/>
        </w:rPr>
        <w:t>”</w:t>
      </w:r>
      <w:r w:rsidRPr="00C730A5">
        <w:rPr>
          <w:rFonts w:ascii="Calibri" w:eastAsia="Calibri" w:hAnsi="Calibri" w:cs="Arial"/>
          <w:b/>
          <w:bCs/>
          <w:sz w:val="18"/>
          <w:szCs w:val="18"/>
        </w:rPr>
        <w:t>:</w:t>
      </w:r>
      <w:r w:rsidRPr="00C730A5">
        <w:rPr>
          <w:rFonts w:ascii="Calibri" w:eastAsia="Calibri" w:hAnsi="Calibri" w:cs="Arial"/>
          <w:sz w:val="18"/>
          <w:szCs w:val="18"/>
        </w:rPr>
        <w:t xml:space="preserve"> ligações que chegam a dois ou mais sites de peering diferentes com Circuitos Dedicados não-Metropolitanos. Um exemplo de ligações a sites que se qualificariam para as configurações de 2 ou mais sites seria Washington DC2 e Chicago, ou Chicago e Chicago 2, etc. Adicionar um terceiro site diferente é elegível para esta configuração. As ligações a uma localização não metropolitana e metropolitana seriam consideradas uma configuração de </w:t>
      </w:r>
      <w:r>
        <w:rPr>
          <w:rFonts w:ascii="Calibri" w:eastAsia="Calibri" w:hAnsi="Calibri" w:cs="Arial"/>
          <w:sz w:val="18"/>
          <w:szCs w:val="18"/>
        </w:rPr>
        <w:t>“</w:t>
      </w:r>
      <w:r w:rsidRPr="00C730A5">
        <w:rPr>
          <w:rFonts w:ascii="Calibri" w:eastAsia="Calibri" w:hAnsi="Calibri" w:cs="Arial"/>
          <w:sz w:val="18"/>
          <w:szCs w:val="18"/>
        </w:rPr>
        <w:t>Site metropolitano</w:t>
      </w:r>
      <w:r>
        <w:rPr>
          <w:rFonts w:ascii="Calibri" w:eastAsia="Calibri" w:hAnsi="Calibri" w:cs="Arial"/>
          <w:sz w:val="18"/>
          <w:szCs w:val="18"/>
        </w:rPr>
        <w:t>”</w:t>
      </w:r>
      <w:r w:rsidRPr="00C730A5">
        <w:rPr>
          <w:rFonts w:ascii="Calibri" w:eastAsia="Calibri" w:hAnsi="Calibri" w:cs="Arial"/>
          <w:sz w:val="18"/>
          <w:szCs w:val="18"/>
        </w:rPr>
        <w:t xml:space="preserve"> e não uma Configuração de 2 ou Mais Sites.</w:t>
      </w:r>
    </w:p>
    <w:p w14:paraId="41099C8D"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Configuração do Site Metropolitano</w:t>
      </w:r>
      <w:r w:rsidRPr="00C730A5">
        <w:rPr>
          <w:rFonts w:ascii="Calibri" w:eastAsia="Calibri" w:hAnsi="Calibri" w:cs="Arial"/>
          <w:sz w:val="18"/>
        </w:rPr>
        <w:t>”</w:t>
      </w:r>
      <w:r w:rsidRPr="00C730A5">
        <w:rPr>
          <w:rFonts w:ascii="Calibri" w:eastAsia="Calibri" w:hAnsi="Calibri" w:cs="Arial"/>
          <w:b/>
          <w:bCs/>
          <w:sz w:val="18"/>
        </w:rPr>
        <w:t>:</w:t>
      </w:r>
      <w:r w:rsidRPr="00C730A5">
        <w:rPr>
          <w:rFonts w:ascii="Calibri" w:eastAsia="Calibri" w:hAnsi="Calibri" w:cs="Arial"/>
          <w:sz w:val="18"/>
        </w:rPr>
        <w:t xml:space="preserve"> uma ligação (ou mais) entre um Gateway ER e um ou mais circuitos ExpressRoute numa única Localização de Peering Metropolitano.</w:t>
      </w:r>
    </w:p>
    <w:p w14:paraId="28C79515"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Configuração de Site Único</w:t>
      </w:r>
      <w:r w:rsidRPr="00C730A5">
        <w:rPr>
          <w:rFonts w:ascii="Calibri" w:eastAsia="Calibri" w:hAnsi="Calibri" w:cs="Arial"/>
          <w:sz w:val="18"/>
        </w:rPr>
        <w:t>”</w:t>
      </w:r>
      <w:r w:rsidRPr="00C730A5">
        <w:rPr>
          <w:rFonts w:ascii="Calibri" w:eastAsia="Calibri" w:hAnsi="Calibri" w:cs="Arial"/>
          <w:b/>
          <w:bCs/>
          <w:sz w:val="18"/>
        </w:rPr>
        <w:t>:</w:t>
      </w:r>
      <w:r w:rsidRPr="00C730A5">
        <w:rPr>
          <w:rFonts w:ascii="Calibri" w:eastAsia="Calibri" w:hAnsi="Calibri" w:cs="Arial"/>
          <w:sz w:val="18"/>
        </w:rPr>
        <w:t xml:space="preserve"> uma ligação (ou mais) entre um Gateway ER e um ou mais circuitos ExpressRoute chegam a uma e só uma Localização de Peering (não Metropolitana).</w:t>
      </w:r>
    </w:p>
    <w:p w14:paraId="53DA42AD"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Crédito de Serviço</w:t>
      </w:r>
      <w:r w:rsidRPr="00C730A5">
        <w:rPr>
          <w:rFonts w:ascii="Calibri" w:eastAsia="Calibri" w:hAnsi="Calibri" w:cs="Arial"/>
          <w:sz w:val="18"/>
        </w:rPr>
        <w:t xml:space="preserve"> Os seguintes Níveis de Serviço e Créditos de Serviço são aplicáveis à utilização que o Cliente faz de cada Circuito Dedicado no Serviço consoante a configuração do site. Os Créditos de Serviço só se aplicam numa arquitetura de múltiplos circuitos ou de site se os circuitos e/ou os sites estiverem inativos em simultâneo, o que resulta na perda total de conectividade com o gateway ligado.</w:t>
      </w:r>
    </w:p>
    <w:p w14:paraId="773CCE3F"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p>
    <w:p w14:paraId="72C13A33"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szCs w:val="18"/>
        </w:rPr>
      </w:pPr>
      <w:r w:rsidRPr="00C730A5">
        <w:rPr>
          <w:rFonts w:ascii="Calibri" w:eastAsia="Calibri" w:hAnsi="Calibri" w:cs="Arial"/>
          <w:b/>
          <w:bCs/>
          <w:color w:val="00188F"/>
          <w:sz w:val="18"/>
          <w:szCs w:val="18"/>
        </w:rPr>
        <w:t>Pelo menos dois Circuitos Dedicados numa Configuração de 2 ou Mais Sites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7675FE02" w14:textId="77777777" w:rsidTr="00BD07C5">
        <w:trPr>
          <w:tblHeader/>
        </w:trPr>
        <w:tc>
          <w:tcPr>
            <w:tcW w:w="5400" w:type="dxa"/>
            <w:shd w:val="clear" w:color="auto" w:fill="0072C6"/>
          </w:tcPr>
          <w:p w14:paraId="79E2A558"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06EE13B0"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4DD0B925" w14:textId="77777777" w:rsidTr="00BD07C5">
        <w:tc>
          <w:tcPr>
            <w:tcW w:w="5400" w:type="dxa"/>
          </w:tcPr>
          <w:p w14:paraId="279E7FF9"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99,95%</w:t>
            </w:r>
          </w:p>
        </w:tc>
        <w:tc>
          <w:tcPr>
            <w:tcW w:w="5400" w:type="dxa"/>
          </w:tcPr>
          <w:p w14:paraId="06A04702"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4B0652C0" w14:textId="77777777" w:rsidTr="00BD07C5">
        <w:tc>
          <w:tcPr>
            <w:tcW w:w="5400" w:type="dxa"/>
          </w:tcPr>
          <w:p w14:paraId="5B5B9ABB"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w:t>
            </w:r>
          </w:p>
        </w:tc>
        <w:tc>
          <w:tcPr>
            <w:tcW w:w="5400" w:type="dxa"/>
          </w:tcPr>
          <w:p w14:paraId="644BCD0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65F547B1" w14:textId="77777777" w:rsidR="003D5599" w:rsidRPr="00C730A5" w:rsidRDefault="003D5599" w:rsidP="005D1414">
      <w:pPr>
        <w:tabs>
          <w:tab w:val="left" w:pos="360"/>
          <w:tab w:val="left" w:pos="720"/>
          <w:tab w:val="left" w:pos="1080"/>
        </w:tabs>
        <w:spacing w:before="120" w:after="0" w:line="240" w:lineRule="auto"/>
        <w:rPr>
          <w:rFonts w:ascii="Calibri" w:eastAsia="Calibri" w:hAnsi="Calibri" w:cs="Arial"/>
          <w:sz w:val="18"/>
        </w:rPr>
      </w:pPr>
      <w:r w:rsidRPr="00C730A5">
        <w:rPr>
          <w:rFonts w:ascii="Calibri" w:eastAsia="Calibri" w:hAnsi="Calibri" w:cs="Arial"/>
          <w:b/>
          <w:color w:val="00188F"/>
          <w:sz w:val="18"/>
        </w:rPr>
        <w:t>Circuito Dedicado numa Configuração de Site Metropolitano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0B6E1ADB" w14:textId="77777777" w:rsidTr="00BD07C5">
        <w:trPr>
          <w:tblHeader/>
        </w:trPr>
        <w:tc>
          <w:tcPr>
            <w:tcW w:w="5400" w:type="dxa"/>
            <w:shd w:val="clear" w:color="auto" w:fill="0072C6"/>
          </w:tcPr>
          <w:p w14:paraId="0DCC3B1A"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6F041A33"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2328D430" w14:textId="77777777" w:rsidTr="00BD07C5">
        <w:tc>
          <w:tcPr>
            <w:tcW w:w="5400" w:type="dxa"/>
          </w:tcPr>
          <w:p w14:paraId="1A08EEA5"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w:t>
            </w:r>
          </w:p>
        </w:tc>
        <w:tc>
          <w:tcPr>
            <w:tcW w:w="5400" w:type="dxa"/>
          </w:tcPr>
          <w:p w14:paraId="63B7F46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1173FEE5" w14:textId="77777777" w:rsidTr="00BD07C5">
        <w:tc>
          <w:tcPr>
            <w:tcW w:w="5400" w:type="dxa"/>
          </w:tcPr>
          <w:p w14:paraId="70610010"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w:t>
            </w:r>
          </w:p>
        </w:tc>
        <w:tc>
          <w:tcPr>
            <w:tcW w:w="5400" w:type="dxa"/>
          </w:tcPr>
          <w:p w14:paraId="544C62B8"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4DD2FAA6" w14:textId="77777777" w:rsidR="003D5599" w:rsidRPr="00C730A5" w:rsidRDefault="003D5599" w:rsidP="005D1414">
      <w:pPr>
        <w:tabs>
          <w:tab w:val="left" w:pos="360"/>
          <w:tab w:val="left" w:pos="720"/>
          <w:tab w:val="left" w:pos="1080"/>
        </w:tabs>
        <w:spacing w:before="120" w:after="0" w:line="240" w:lineRule="auto"/>
        <w:rPr>
          <w:rFonts w:ascii="Calibri" w:eastAsia="Calibri" w:hAnsi="Calibri" w:cs="Arial"/>
          <w:sz w:val="18"/>
        </w:rPr>
      </w:pPr>
      <w:r w:rsidRPr="00C730A5">
        <w:rPr>
          <w:rFonts w:ascii="Calibri" w:eastAsia="Calibri" w:hAnsi="Calibri" w:cs="Arial"/>
          <w:b/>
          <w:color w:val="00188F"/>
          <w:sz w:val="18"/>
        </w:rPr>
        <w:t>Circuito Dedicado numa Configuração de Site Único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4B157ABF" w14:textId="77777777" w:rsidTr="00BD07C5">
        <w:trPr>
          <w:tblHeader/>
        </w:trPr>
        <w:tc>
          <w:tcPr>
            <w:tcW w:w="5400" w:type="dxa"/>
            <w:shd w:val="clear" w:color="auto" w:fill="0072C6"/>
          </w:tcPr>
          <w:p w14:paraId="31E67FEE"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72C6AE31"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484D194A" w14:textId="77777777" w:rsidTr="00BD07C5">
        <w:tc>
          <w:tcPr>
            <w:tcW w:w="5400" w:type="dxa"/>
          </w:tcPr>
          <w:p w14:paraId="1212CF6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w:t>
            </w:r>
          </w:p>
        </w:tc>
        <w:tc>
          <w:tcPr>
            <w:tcW w:w="5400" w:type="dxa"/>
          </w:tcPr>
          <w:p w14:paraId="76AC3A7F"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0611BE5B" w14:textId="77777777" w:rsidTr="00BD07C5">
        <w:tc>
          <w:tcPr>
            <w:tcW w:w="5400" w:type="dxa"/>
          </w:tcPr>
          <w:p w14:paraId="50D00F29"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95%</w:t>
            </w:r>
          </w:p>
        </w:tc>
        <w:tc>
          <w:tcPr>
            <w:tcW w:w="5400" w:type="dxa"/>
          </w:tcPr>
          <w:p w14:paraId="58E28B95"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74DD4DB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C6BAE8" w14:textId="73F1C715" w:rsidR="002B2E32" w:rsidRDefault="002B2E32" w:rsidP="002B2E32">
      <w:pPr>
        <w:pStyle w:val="ProductList-Offering2Heading"/>
        <w:tabs>
          <w:tab w:val="clear" w:pos="360"/>
          <w:tab w:val="clear" w:pos="720"/>
          <w:tab w:val="clear" w:pos="1080"/>
        </w:tabs>
        <w:outlineLvl w:val="2"/>
      </w:pPr>
      <w:bookmarkStart w:id="265" w:name="_Toc214456816"/>
      <w:r>
        <w:t>Azure ExpressRoute</w:t>
      </w:r>
      <w:r w:rsidR="002F249A">
        <w:t xml:space="preserve"> Traffic Collector</w:t>
      </w:r>
      <w:bookmarkEnd w:id="265"/>
    </w:p>
    <w:p w14:paraId="5E627272" w14:textId="77777777" w:rsidR="003F7175" w:rsidRPr="005C673D" w:rsidRDefault="003F7175" w:rsidP="003F7175">
      <w:pPr>
        <w:pStyle w:val="ProductList-Body"/>
        <w:rPr>
          <w:rFonts w:ascii="Calibri" w:hAnsi="Calibri" w:cs="Calibri"/>
          <w:b/>
          <w:color w:val="00188F"/>
        </w:rPr>
      </w:pPr>
      <w:r>
        <w:rPr>
          <w:rFonts w:ascii="Calibri" w:hAnsi="Calibri" w:cs="Calibri"/>
          <w:b/>
          <w:color w:val="00188F"/>
        </w:rPr>
        <w:t>Definições Adicionais</w:t>
      </w:r>
      <w:r>
        <w:rPr>
          <w:rFonts w:ascii="Calibri" w:hAnsi="Calibri" w:cs="Calibri"/>
        </w:rPr>
        <w:t>:</w:t>
      </w:r>
    </w:p>
    <w:p w14:paraId="01CD76EE" w14:textId="77777777" w:rsidR="003F7175" w:rsidRPr="005C673D" w:rsidRDefault="003F7175" w:rsidP="002B779A">
      <w:pPr>
        <w:pStyle w:val="ProductList-Body"/>
        <w:rPr>
          <w:rFonts w:ascii="Calibri" w:hAnsi="Calibri" w:cs="Calibri"/>
        </w:rPr>
      </w:pPr>
      <w:r>
        <w:rPr>
          <w:rFonts w:ascii="Calibri" w:hAnsi="Calibri" w:cs="Calibri"/>
        </w:rPr>
        <w:t>“</w:t>
      </w:r>
      <w:r>
        <w:rPr>
          <w:rFonts w:ascii="Calibri" w:hAnsi="Calibri" w:cs="Calibri"/>
          <w:b/>
          <w:color w:val="00188F"/>
        </w:rPr>
        <w:t>Circuito Dedicado</w:t>
      </w:r>
      <w:r>
        <w:rPr>
          <w:rFonts w:ascii="Calibri" w:hAnsi="Calibri" w:cs="Calibri"/>
        </w:rPr>
        <w:t>” designa uma representação lógica da conectividade oferecida através do Serviço ExpressRoute entre as instalações do Cliente e o Microsoft Azure através da conectividade ExpressRoute Direct, onde esta conectividade não interfere com a Internet pública.</w:t>
      </w:r>
    </w:p>
    <w:p w14:paraId="42583112" w14:textId="77777777" w:rsidR="003F7175" w:rsidRPr="005C673D" w:rsidRDefault="003F7175" w:rsidP="002B779A">
      <w:pPr>
        <w:pStyle w:val="ProductList-ClauseHeading"/>
        <w:rPr>
          <w:rFonts w:ascii="Calibri" w:hAnsi="Calibri" w:cs="Calibri"/>
          <w:b w:val="0"/>
          <w:bCs/>
          <w:color w:val="auto"/>
        </w:rPr>
      </w:pPr>
      <w:r w:rsidRPr="00CC151B">
        <w:rPr>
          <w:rFonts w:ascii="Calibri" w:hAnsi="Calibri" w:cs="Calibri"/>
          <w:b w:val="0"/>
          <w:bCs/>
        </w:rPr>
        <w:t>“</w:t>
      </w:r>
      <w:r>
        <w:rPr>
          <w:rFonts w:ascii="Calibri" w:hAnsi="Calibri" w:cs="Calibri"/>
        </w:rPr>
        <w:t>ExpressRoute Traffic Collector</w:t>
      </w:r>
      <w:r w:rsidRPr="00CC151B">
        <w:rPr>
          <w:rFonts w:ascii="Calibri" w:hAnsi="Calibri" w:cs="Calibri"/>
          <w:b w:val="0"/>
          <w:bCs/>
        </w:rPr>
        <w:t>”</w:t>
      </w:r>
      <w:r>
        <w:rPr>
          <w:rFonts w:ascii="Calibri" w:hAnsi="Calibri" w:cs="Calibri"/>
        </w:rPr>
        <w:t xml:space="preserve"> </w:t>
      </w:r>
      <w:r>
        <w:rPr>
          <w:rFonts w:ascii="Calibri" w:hAnsi="Calibri" w:cs="Calibri"/>
          <w:b w:val="0"/>
          <w:bCs/>
          <w:color w:val="auto"/>
        </w:rPr>
        <w:t>designa um coletor de tráfego que facilita a recolha de registos de fluxos sobre o tráfego IP que atravessa o circuito dedicado.</w:t>
      </w:r>
    </w:p>
    <w:p w14:paraId="4C5F6A9D" w14:textId="77777777" w:rsidR="003F7175" w:rsidRPr="005C673D" w:rsidRDefault="003F7175" w:rsidP="002B779A">
      <w:pPr>
        <w:pStyle w:val="ProductList-Body"/>
        <w:rPr>
          <w:rFonts w:ascii="Calibri" w:hAnsi="Calibri" w:cs="Calibri"/>
        </w:rPr>
      </w:pPr>
      <w:r>
        <w:rPr>
          <w:rFonts w:ascii="Calibri" w:hAnsi="Calibri" w:cs="Calibri"/>
        </w:rPr>
        <w:t>“</w:t>
      </w:r>
      <w:r>
        <w:rPr>
          <w:rFonts w:ascii="Calibri" w:hAnsi="Calibri" w:cs="Calibri"/>
          <w:b/>
          <w:color w:val="00188F"/>
        </w:rPr>
        <w:t>Máximo de Minutos Disponíveis</w:t>
      </w:r>
      <w:r>
        <w:rPr>
          <w:rFonts w:ascii="Calibri" w:hAnsi="Calibri" w:cs="Calibri"/>
        </w:rPr>
        <w:t>” é o número total de minutos que um determinado Circuito ExpressRoute Traffic Controller está ligado a um ou mais Circuitos Dedicados no Microsoft Azure durante um Período Aplicável numa determinada subscrição do Microsoft Azure.</w:t>
      </w:r>
    </w:p>
    <w:p w14:paraId="0389E92C" w14:textId="77777777" w:rsidR="003F7175" w:rsidRPr="005C673D" w:rsidRDefault="003F7175" w:rsidP="002B779A">
      <w:pPr>
        <w:pStyle w:val="ProductList-Body"/>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designa o número total de minutos durante o Máximo de Minutos Disponíveis em que os dados no ExpressRoute Traffic Collector estão indisponíveis durante os quais não são entregues registos de fluxos recolhidos durante mais de 5 minutos.</w:t>
      </w:r>
    </w:p>
    <w:p w14:paraId="5CC2F22F" w14:textId="77777777" w:rsidR="003F7175" w:rsidRPr="005C673D" w:rsidRDefault="003F7175" w:rsidP="002B779A">
      <w:pPr>
        <w:pStyle w:val="ProductList-Body"/>
        <w:rPr>
          <w:rFonts w:ascii="Calibri" w:hAnsi="Calibri" w:cs="Calibri"/>
        </w:rPr>
      </w:pPr>
      <w:r w:rsidRPr="00CC151B">
        <w:rPr>
          <w:rFonts w:ascii="Calibri" w:hAnsi="Calibri" w:cs="Calibri"/>
        </w:rPr>
        <w:t xml:space="preserve">A </w:t>
      </w:r>
      <w:r>
        <w:rPr>
          <w:rFonts w:ascii="Calibri" w:hAnsi="Calibri" w:cs="Calibri"/>
        </w:rPr>
        <w:t>“</w:t>
      </w:r>
      <w:r>
        <w:rPr>
          <w:rFonts w:ascii="Calibri" w:hAnsi="Calibri" w:cs="Calibri"/>
          <w:b/>
          <w:color w:val="00188F"/>
        </w:rPr>
        <w:t>Percentagem de Disponibilidade</w:t>
      </w:r>
      <w:r>
        <w:rPr>
          <w:rFonts w:ascii="Calibri" w:hAnsi="Calibri" w:cs="Calibri"/>
        </w:rPr>
        <w:t>” é calculada através da seguinte fórmula:</w:t>
      </w:r>
    </w:p>
    <w:p w14:paraId="34C7FB02" w14:textId="77777777" w:rsidR="003F7175" w:rsidRPr="00EF7CF9" w:rsidRDefault="00000000" w:rsidP="002B77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F55291" w14:textId="77777777" w:rsidR="003F7175" w:rsidRPr="005C673D" w:rsidRDefault="003F7175" w:rsidP="003F7175">
      <w:pPr>
        <w:pStyle w:val="ProductList-Body"/>
        <w:rPr>
          <w:rFonts w:ascii="Calibri" w:hAnsi="Calibri" w:cs="Calibri"/>
        </w:rPr>
      </w:pPr>
      <w:r>
        <w:rPr>
          <w:rFonts w:ascii="Calibri" w:hAnsi="Calibri" w:cs="Calibri"/>
          <w:b/>
          <w:color w:val="00188F"/>
        </w:rPr>
        <w:lastRenderedPageBreak/>
        <w:t>Crédito de Serviço</w:t>
      </w:r>
      <w:r>
        <w:rPr>
          <w:rFonts w:ascii="Calibri" w:hAnsi="Calibri" w:cs="Calibri"/>
        </w:rPr>
        <w:t xml:space="preserve"> Os seguintes Níveis de Serviço e Créditos de Serviço são aplicáveis à utilização que o Cliente faz do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63B8" w:rsidRPr="00B44CF9" w14:paraId="119775B1" w14:textId="77777777" w:rsidTr="00307613">
        <w:trPr>
          <w:tblHeader/>
        </w:trPr>
        <w:tc>
          <w:tcPr>
            <w:tcW w:w="5400" w:type="dxa"/>
            <w:shd w:val="clear" w:color="auto" w:fill="0072C6"/>
          </w:tcPr>
          <w:p w14:paraId="63D0A4F3" w14:textId="77777777" w:rsidR="00E163B8" w:rsidRPr="00EF7CF9" w:rsidRDefault="00E163B8" w:rsidP="003076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654E30E" w14:textId="77777777" w:rsidR="00E163B8" w:rsidRPr="00EF7CF9" w:rsidRDefault="00E163B8" w:rsidP="00307613">
            <w:pPr>
              <w:pStyle w:val="ProductList-OfferingBody"/>
              <w:jc w:val="center"/>
              <w:rPr>
                <w:color w:val="FFFFFF" w:themeColor="background1"/>
              </w:rPr>
            </w:pPr>
            <w:r>
              <w:rPr>
                <w:color w:val="FFFFFF" w:themeColor="background1"/>
              </w:rPr>
              <w:t>Crédito de Serviço</w:t>
            </w:r>
          </w:p>
        </w:tc>
      </w:tr>
      <w:tr w:rsidR="00E163B8" w:rsidRPr="00B44CF9" w14:paraId="6907A536" w14:textId="77777777" w:rsidTr="00307613">
        <w:tc>
          <w:tcPr>
            <w:tcW w:w="5400" w:type="dxa"/>
          </w:tcPr>
          <w:p w14:paraId="7A8AC676" w14:textId="5CD24D8E" w:rsidR="00E163B8" w:rsidRPr="00EF7CF9" w:rsidRDefault="00E163B8" w:rsidP="00307613">
            <w:pPr>
              <w:pStyle w:val="ProductList-OfferingBody"/>
              <w:jc w:val="center"/>
            </w:pPr>
            <w:r>
              <w:t>&lt; 99,9%</w:t>
            </w:r>
          </w:p>
        </w:tc>
        <w:tc>
          <w:tcPr>
            <w:tcW w:w="5400" w:type="dxa"/>
          </w:tcPr>
          <w:p w14:paraId="38ECA1CA" w14:textId="77777777" w:rsidR="00E163B8" w:rsidRPr="00EF7CF9" w:rsidRDefault="00E163B8" w:rsidP="00307613">
            <w:pPr>
              <w:pStyle w:val="ProductList-OfferingBody"/>
              <w:jc w:val="center"/>
            </w:pPr>
            <w:r>
              <w:t>10%</w:t>
            </w:r>
          </w:p>
        </w:tc>
      </w:tr>
      <w:tr w:rsidR="00E163B8" w:rsidRPr="00B44CF9" w14:paraId="5020690B" w14:textId="77777777" w:rsidTr="00307613">
        <w:tc>
          <w:tcPr>
            <w:tcW w:w="5400" w:type="dxa"/>
          </w:tcPr>
          <w:p w14:paraId="6559F8DC" w14:textId="77777777" w:rsidR="00E163B8" w:rsidRPr="00EF7CF9" w:rsidRDefault="00E163B8" w:rsidP="00307613">
            <w:pPr>
              <w:pStyle w:val="ProductList-OfferingBody"/>
              <w:jc w:val="center"/>
            </w:pPr>
            <w:r>
              <w:t>&lt; 99%</w:t>
            </w:r>
          </w:p>
        </w:tc>
        <w:tc>
          <w:tcPr>
            <w:tcW w:w="5400" w:type="dxa"/>
          </w:tcPr>
          <w:p w14:paraId="47ACED82" w14:textId="77777777" w:rsidR="00E163B8" w:rsidRPr="00EF7CF9" w:rsidRDefault="00E163B8" w:rsidP="00307613">
            <w:pPr>
              <w:pStyle w:val="ProductList-OfferingBody"/>
              <w:jc w:val="center"/>
            </w:pPr>
            <w:r>
              <w:t>25%</w:t>
            </w:r>
          </w:p>
        </w:tc>
      </w:tr>
    </w:tbl>
    <w:p w14:paraId="066ABC84" w14:textId="77777777" w:rsidR="00E163B8" w:rsidRPr="00EF7CF9" w:rsidRDefault="00E163B8" w:rsidP="00E163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7A61AC2" w14:textId="393EAEF1" w:rsidR="00B74B20" w:rsidRDefault="00B74B20" w:rsidP="00F01ED6">
      <w:pPr>
        <w:pStyle w:val="ProductList-Offering2Heading"/>
        <w:tabs>
          <w:tab w:val="clear" w:pos="360"/>
          <w:tab w:val="clear" w:pos="720"/>
          <w:tab w:val="clear" w:pos="1080"/>
        </w:tabs>
        <w:outlineLvl w:val="2"/>
        <w:rPr>
          <w:bdr w:val="none" w:sz="0" w:space="0" w:color="auto" w:frame="1"/>
        </w:rPr>
      </w:pPr>
      <w:bookmarkStart w:id="266" w:name="_Toc214456817"/>
      <w:r>
        <w:t xml:space="preserve">Camada Premium dos </w:t>
      </w:r>
      <w:r>
        <w:rPr>
          <w:bdr w:val="none" w:sz="0" w:space="0" w:color="auto" w:frame="1"/>
        </w:rPr>
        <w:t>Ficheiros do Azure</w:t>
      </w:r>
      <w:bookmarkEnd w:id="266"/>
    </w:p>
    <w:p w14:paraId="0359C8CD"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0CC0114F" w14:textId="7BE457C3"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80305">
        <w:rPr>
          <w:sz w:val="18"/>
        </w:rPr>
        <w:t>“</w:t>
      </w:r>
      <w:r>
        <w:rPr>
          <w:rFonts w:ascii="Calibri" w:eastAsia="Times New Roman" w:hAnsi="Calibri" w:cs="Calibri"/>
          <w:b/>
          <w:bCs/>
          <w:color w:val="00188F"/>
          <w:sz w:val="18"/>
          <w:szCs w:val="18"/>
          <w:bdr w:val="none" w:sz="0" w:space="0" w:color="auto" w:frame="1"/>
        </w:rPr>
        <w:t>Partilha de Ficheiros</w:t>
      </w:r>
      <w:r w:rsidRPr="00380305">
        <w:rPr>
          <w:sz w:val="18"/>
        </w:rPr>
        <w:t>”</w:t>
      </w:r>
      <w:r>
        <w:rPr>
          <w:rFonts w:ascii="Calibri" w:eastAsia="Times New Roman" w:hAnsi="Calibri" w:cs="Calibri"/>
          <w:color w:val="242424"/>
          <w:sz w:val="18"/>
          <w:szCs w:val="18"/>
        </w:rPr>
        <w:t> é um recurso de armazenamento lógico nos Ficheiros do Azure que contém um sistema de ficheiros e é utilizado para armazenar dados.</w:t>
      </w:r>
    </w:p>
    <w:p w14:paraId="3F64B3CE"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Localmente Redundante (LRS)</w:t>
      </w:r>
      <w:r>
        <w:rPr>
          <w:rFonts w:ascii="Calibri" w:eastAsia="Times New Roman" w:hAnsi="Calibri" w:cs="Calibri"/>
          <w:color w:val="242424"/>
          <w:sz w:val="18"/>
          <w:szCs w:val="18"/>
        </w:rPr>
        <w:t>” é uma definição que indica que os dados são replicados de forma síncrona apenas numa Região Primária.</w:t>
      </w:r>
    </w:p>
    <w:p w14:paraId="1552B0D8"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Entre Zonas (ZRS)</w:t>
      </w:r>
      <w:r w:rsidRPr="00380305">
        <w:rPr>
          <w:sz w:val="18"/>
        </w:rPr>
        <w:t>”</w:t>
      </w:r>
      <w:r>
        <w:rPr>
          <w:rFonts w:ascii="Calibri" w:eastAsia="Times New Roman" w:hAnsi="Calibri" w:cs="Calibri"/>
          <w:color w:val="242424"/>
          <w:sz w:val="18"/>
          <w:szCs w:val="18"/>
        </w:rPr>
        <w:t> é uma definição que indica que os dados são replicados em múltiplas instalações. Estas instalações podem estar na mesma região geográfica ou em duas regiões geográficas.</w:t>
      </w:r>
    </w:p>
    <w:p w14:paraId="2056FB21"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Máximo de Minutos Disponíveis</w:t>
      </w:r>
      <w:r w:rsidRPr="00380305">
        <w:rPr>
          <w:sz w:val="18"/>
        </w:rPr>
        <w:t>”</w:t>
      </w:r>
      <w:r>
        <w:rPr>
          <w:rFonts w:ascii="Calibri" w:eastAsia="Times New Roman" w:hAnsi="Calibri" w:cs="Calibri"/>
          <w:color w:val="242424"/>
          <w:sz w:val="18"/>
          <w:szCs w:val="18"/>
        </w:rPr>
        <w:t> é o número total de minutos durante os quais uma determinada Partilha de Ficheiros é implementada pelo Cliente numa determinada subscrição do Microsoft Azure durante um Período Aplicável.</w:t>
      </w:r>
    </w:p>
    <w:p w14:paraId="43ECDE5B"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xml:space="preserve">O </w:t>
      </w:r>
      <w:r w:rsidRPr="00380305">
        <w:rPr>
          <w:sz w:val="18"/>
        </w:rPr>
        <w:t>“</w:t>
      </w:r>
      <w:bookmarkStart w:id="267" w:name="x__Hlk87495761"/>
      <w:r>
        <w:rPr>
          <w:rFonts w:ascii="Calibri" w:eastAsia="Times New Roman" w:hAnsi="Calibri" w:cs="Calibri"/>
          <w:b/>
          <w:bCs/>
          <w:color w:val="00188F"/>
          <w:sz w:val="18"/>
          <w:szCs w:val="18"/>
          <w:bdr w:val="none" w:sz="0" w:space="0" w:color="auto" w:frame="1"/>
        </w:rPr>
        <w:t>Problema do Lado do </w:t>
      </w:r>
      <w:bookmarkEnd w:id="267"/>
      <w:r>
        <w:rPr>
          <w:rFonts w:ascii="Calibri" w:eastAsia="Times New Roman" w:hAnsi="Calibri" w:cs="Calibri"/>
          <w:b/>
          <w:bCs/>
          <w:color w:val="00188F"/>
          <w:sz w:val="18"/>
          <w:szCs w:val="18"/>
          <w:bdr w:val="none" w:sz="0" w:space="0" w:color="auto" w:frame="1"/>
        </w:rPr>
        <w:t>Serviço</w:t>
      </w:r>
      <w:r w:rsidRPr="00380305">
        <w:rPr>
          <w:sz w:val="18"/>
        </w:rPr>
        <w:t>”</w:t>
      </w:r>
      <w:r>
        <w:rPr>
          <w:rFonts w:ascii="Calibri" w:eastAsia="Times New Roman" w:hAnsi="Calibri" w:cs="Calibri"/>
          <w:color w:val="242424"/>
          <w:sz w:val="18"/>
          <w:szCs w:val="18"/>
        </w:rPr>
        <w:t> é comunicado quando um pedido falha com o tipo de resposta ServerOtherError, ServerBusyError ou ServerTimeoutError.</w:t>
      </w:r>
    </w:p>
    <w:p w14:paraId="711B19D4"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Período de Indisponibilidade</w:t>
      </w:r>
      <w:r w:rsidRPr="00380305">
        <w:rPr>
          <w:sz w:val="18"/>
        </w:rPr>
        <w:t>”</w:t>
      </w:r>
      <w:r>
        <w:rPr>
          <w:rFonts w:ascii="Calibri" w:eastAsia="Times New Roman" w:hAnsi="Calibri" w:cs="Calibri"/>
          <w:color w:val="242424"/>
          <w:sz w:val="18"/>
          <w:szCs w:val="18"/>
        </w:rPr>
        <w:t> é o número total de minutos no Período Aplicável durante o qual todos os pedidos com base na Partilha de Ficheiros falharam devido a um Problema do Lado do Servidor.</w:t>
      </w:r>
    </w:p>
    <w:p w14:paraId="37BAD2E0"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Percentagem de Período de Disponibilidade</w:t>
      </w:r>
      <w:r w:rsidRPr="00380305">
        <w:rPr>
          <w:sz w:val="18"/>
        </w:rPr>
        <w:t>”</w:t>
      </w:r>
      <w:r w:rsidRPr="00473DD3">
        <w:rPr>
          <w:sz w:val="18"/>
        </w:rPr>
        <w:t>:</w:t>
      </w:r>
      <w:r>
        <w:rPr>
          <w:rFonts w:ascii="Calibri" w:eastAsia="Times New Roman" w:hAnsi="Calibri" w:cs="Calibri"/>
          <w:color w:val="242424"/>
          <w:sz w:val="18"/>
          <w:szCs w:val="18"/>
        </w:rPr>
        <w:t xml:space="preserve"> A Percentagem de Período de Disponibilidade é calculada utilizando a seguinte fórmula:</w:t>
      </w:r>
    </w:p>
    <w:p w14:paraId="1538B4C4" w14:textId="77777777" w:rsidR="00B74B20" w:rsidRDefault="00000000" w:rsidP="00B74B20">
      <w:pPr>
        <w:shd w:val="clear" w:color="auto" w:fill="FFFFFF"/>
        <w:spacing w:before="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B7B916E"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Aplicam-se os seguintes Níveis de Serviço e Créditos de Serviço à utilização, por parte do Cliente, da Partilha de Ficheiros com a Camada Premium ao utilizar o Armazenamento Redundante por Zona (ZRS) ou o Armazenamento Localmente Redundante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B74B20" w14:paraId="17EC8B7D"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6DC75" w14:textId="6FE7BB76"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Percentagem de Período de Disponibilidade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07245564" w14:textId="77777777"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B74B20" w14:paraId="368CC13A"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AFE9B0"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A4F661"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B74B20" w14:paraId="77D94165"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DDADAE"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5CBD5B"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4AEAAC3" w14:textId="77777777" w:rsidR="00B74B20" w:rsidRPr="00EF7CF9" w:rsidRDefault="00B74B20" w:rsidP="00B74B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C2AD44" w14:textId="44D55837" w:rsidR="004005AF" w:rsidRPr="00EF7CF9" w:rsidRDefault="004005AF" w:rsidP="00F01ED6">
      <w:pPr>
        <w:pStyle w:val="ProductList-Offering2Heading"/>
        <w:tabs>
          <w:tab w:val="clear" w:pos="360"/>
          <w:tab w:val="clear" w:pos="720"/>
          <w:tab w:val="clear" w:pos="1080"/>
        </w:tabs>
        <w:outlineLvl w:val="2"/>
      </w:pPr>
      <w:bookmarkStart w:id="268" w:name="_Toc214456818"/>
      <w:r>
        <w:t>Azure Firewall</w:t>
      </w:r>
      <w:bookmarkEnd w:id="232"/>
      <w:bookmarkEnd w:id="233"/>
      <w:bookmarkEnd w:id="268"/>
    </w:p>
    <w:p w14:paraId="107DEEB6" w14:textId="77777777" w:rsidR="004005AF" w:rsidRPr="00EF7CF9" w:rsidRDefault="004005AF" w:rsidP="00F01ED6">
      <w:pPr>
        <w:pStyle w:val="ProductList-Body"/>
      </w:pPr>
      <w:r>
        <w:rPr>
          <w:b/>
          <w:color w:val="00188F"/>
        </w:rPr>
        <w:t>Definições Adicionais</w:t>
      </w:r>
      <w:r w:rsidRPr="00473DD3">
        <w:rPr>
          <w:b/>
          <w:color w:val="00188F"/>
        </w:rPr>
        <w:t>:</w:t>
      </w:r>
    </w:p>
    <w:p w14:paraId="4A3B69E6" w14:textId="66296A94" w:rsidR="004005AF" w:rsidRPr="00E9584A" w:rsidRDefault="00380305" w:rsidP="00F01ED6">
      <w:pPr>
        <w:pStyle w:val="ProductList-Body"/>
      </w:pPr>
      <w:r>
        <w:t>“</w:t>
      </w:r>
      <w:r w:rsidR="004005AF">
        <w:rPr>
          <w:b/>
          <w:color w:val="00188F"/>
        </w:rPr>
        <w:t>Serviço Azure Firewall</w:t>
      </w:r>
      <w:r>
        <w:t>”</w:t>
      </w:r>
      <w:r w:rsidR="004005AF">
        <w:rPr>
          <w:b/>
          <w:color w:val="00188F"/>
        </w:rPr>
        <w:t xml:space="preserve"> </w:t>
      </w:r>
      <w:r w:rsidR="004005AF">
        <w:t>designa uma instância da firewall lógica implementada numa Rede Virtual do cliente.</w:t>
      </w:r>
    </w:p>
    <w:p w14:paraId="7D62F386" w14:textId="07808C7F" w:rsidR="004005AF" w:rsidRPr="00ED4527" w:rsidRDefault="00EE6E3C" w:rsidP="00F01ED6">
      <w:pPr>
        <w:pStyle w:val="ProductList-Body"/>
        <w:rPr>
          <w:b/>
          <w:bCs/>
          <w:color w:val="00188F"/>
        </w:rPr>
      </w:pPr>
      <w:r>
        <w:rPr>
          <w:b/>
          <w:bCs/>
          <w:color w:val="00188F"/>
        </w:rPr>
        <w:t>Cálculo do Período de Disponibilidade e Níveis de Serviço para o Serviço Azure Firewall implementado numa única Zona de Disponibilidade</w:t>
      </w:r>
    </w:p>
    <w:p w14:paraId="58255A28" w14:textId="60E88F0E" w:rsidR="004005AF" w:rsidRPr="00A2017D" w:rsidRDefault="00380305" w:rsidP="00F01ED6">
      <w:pPr>
        <w:pStyle w:val="ProductList-Body"/>
      </w:pPr>
      <w:r>
        <w:t>“</w:t>
      </w:r>
      <w:r w:rsidR="004005AF">
        <w:rPr>
          <w:b/>
          <w:color w:val="00188F"/>
        </w:rPr>
        <w:t>Máximo de Minutos Disponíveis</w:t>
      </w:r>
      <w:r>
        <w:t>”</w:t>
      </w:r>
      <w:r w:rsidR="004005AF">
        <w:rPr>
          <w:b/>
          <w:color w:val="00188F"/>
        </w:rPr>
        <w:t xml:space="preserve"> </w:t>
      </w:r>
      <w:r w:rsidR="004005AF">
        <w:t>designa o total de minutos acumulados num Período Aplicável, durante o qual o Serviço Azure Firewall foi implementado numa subscrição do Microsoft Azure.</w:t>
      </w:r>
    </w:p>
    <w:p w14:paraId="2C00A1C0" w14:textId="21EB9384" w:rsidR="004005AF" w:rsidRDefault="00380305" w:rsidP="00F01ED6">
      <w:pPr>
        <w:pStyle w:val="ProductList-Body"/>
      </w:pPr>
      <w:r>
        <w:t>“</w:t>
      </w:r>
      <w:r w:rsidR="004005AF">
        <w:rPr>
          <w:b/>
          <w:color w:val="00188F"/>
        </w:rPr>
        <w:t>Período de Indisponibilidade</w:t>
      </w:r>
      <w:r>
        <w:t>”</w:t>
      </w:r>
      <w:r w:rsidR="004005AF">
        <w:rPr>
          <w:b/>
          <w:color w:val="00188F"/>
        </w:rPr>
        <w:t xml:space="preserve"> </w:t>
      </w:r>
      <w:r w:rsidR="004005AF">
        <w:t>designa o total acumulado de Máximo de Minutos Disponíveis num Período Aplicável para um determinado Serviço do Azure Firewall</w:t>
      </w:r>
      <w:r w:rsidR="004005AF">
        <w:rPr>
          <w:b/>
          <w:color w:val="00188F"/>
        </w:rPr>
        <w:t xml:space="preserve"> </w:t>
      </w:r>
      <w:r w:rsidR="004005AF">
        <w:t>durante o qual o Serviço do Azure Firewall está indisponível. Um determinado minuto é considerado indisponível se todas as tentativas de ligação ao Serviço Azure Firewall durante esse minuto falharem.</w:t>
      </w:r>
    </w:p>
    <w:p w14:paraId="2F4A07D6" w14:textId="12D0664A"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98E6B9" w14:textId="2072E27F" w:rsidR="004005AF" w:rsidRPr="00EF7CF9" w:rsidRDefault="00000000" w:rsidP="002B779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BD7FA62" w14:textId="77777777" w:rsidR="004005AF" w:rsidRPr="00ED4527"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numa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F2EBB8"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277097">
        <w:tc>
          <w:tcPr>
            <w:tcW w:w="5400" w:type="dxa"/>
          </w:tcPr>
          <w:p w14:paraId="5C610318" w14:textId="77777777" w:rsidR="004005AF" w:rsidRPr="005A3C16" w:rsidRDefault="004005AF" w:rsidP="00F01ED6">
            <w:pPr>
              <w:pStyle w:val="ProductList-OfferingBody"/>
              <w:jc w:val="center"/>
            </w:pPr>
            <w:r>
              <w:t>&lt; 99,95%</w:t>
            </w:r>
          </w:p>
        </w:tc>
        <w:tc>
          <w:tcPr>
            <w:tcW w:w="5400" w:type="dxa"/>
          </w:tcPr>
          <w:p w14:paraId="10C08CE5" w14:textId="77777777" w:rsidR="004005AF" w:rsidRPr="005A3C16" w:rsidRDefault="004005AF" w:rsidP="00F01ED6">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F01ED6">
            <w:pPr>
              <w:pStyle w:val="ProductList-OfferingBody"/>
              <w:jc w:val="center"/>
            </w:pPr>
            <w:r>
              <w:t>&lt; 99%</w:t>
            </w:r>
          </w:p>
        </w:tc>
        <w:tc>
          <w:tcPr>
            <w:tcW w:w="5400" w:type="dxa"/>
          </w:tcPr>
          <w:p w14:paraId="75BACCED" w14:textId="77777777" w:rsidR="004005AF" w:rsidRPr="005A3C16" w:rsidRDefault="004005AF" w:rsidP="00F01ED6">
            <w:pPr>
              <w:pStyle w:val="ProductList-OfferingBody"/>
              <w:jc w:val="center"/>
            </w:pPr>
            <w:r>
              <w:t>25%</w:t>
            </w:r>
          </w:p>
        </w:tc>
      </w:tr>
    </w:tbl>
    <w:p w14:paraId="605ED321" w14:textId="36894902" w:rsidR="004005AF" w:rsidRPr="00E80B8A" w:rsidRDefault="00EE6E3C" w:rsidP="008809A5">
      <w:pPr>
        <w:pStyle w:val="ProductList-Body"/>
        <w:keepNext/>
        <w:keepLines/>
        <w:spacing w:before="120"/>
        <w:rPr>
          <w:b/>
          <w:bCs/>
          <w:color w:val="00188F"/>
          <w:spacing w:val="-3"/>
        </w:rPr>
      </w:pPr>
      <w:r w:rsidRPr="00E80B8A">
        <w:rPr>
          <w:b/>
          <w:bCs/>
          <w:color w:val="00188F"/>
          <w:spacing w:val="-3"/>
        </w:rPr>
        <w:t>Cálculo do Período de Disponibilidade e Níveis de Serviço para o Serviço Azure Firewall implementado em duas ou mais Zonas de Disponibilidade</w:t>
      </w:r>
    </w:p>
    <w:p w14:paraId="30D680C4" w14:textId="7CF19D0C"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0000" w:themeColor="text1"/>
        </w:rPr>
        <w:t xml:space="preserve"> designa o total de minutos acumulados num Período Aplicável durante o qual o Serviço Azure Firewall foi</w:t>
      </w:r>
      <w:r w:rsidR="00494A45">
        <w:rPr>
          <w:color w:val="000000" w:themeColor="text1"/>
        </w:rPr>
        <w:t> </w:t>
      </w:r>
      <w:r w:rsidR="004005AF">
        <w:rPr>
          <w:color w:val="000000" w:themeColor="text1"/>
        </w:rPr>
        <w:t>implementado em duas ou mais Zonas de Disponibilidade de uma mesma região da subscrição do Microsoft Azure.</w:t>
      </w:r>
    </w:p>
    <w:p w14:paraId="3016A8A2" w14:textId="58185CF8" w:rsidR="004005AF" w:rsidRPr="00ED4527" w:rsidRDefault="00380305" w:rsidP="00F01ED6">
      <w:pPr>
        <w:pStyle w:val="ProductList-Body"/>
        <w:rPr>
          <w:color w:val="000000" w:themeColor="text1"/>
        </w:rPr>
      </w:pPr>
      <w:r w:rsidRPr="00380305">
        <w:lastRenderedPageBreak/>
        <w:t>“</w:t>
      </w:r>
      <w:r w:rsidR="004005AF">
        <w:rPr>
          <w:b/>
          <w:bCs/>
          <w:color w:val="00188F"/>
        </w:rPr>
        <w:t>Período de Indisponibilidade</w:t>
      </w:r>
      <w:r w:rsidRPr="00380305">
        <w:t>”</w:t>
      </w:r>
      <w:r w:rsidR="004005AF">
        <w:rPr>
          <w:color w:val="000000" w:themeColor="text1"/>
        </w:rPr>
        <w:t xml:space="preserve"> é total acumulado de Máximo de Minutos Disponíveis, num Período Aplicável, para um determinado Serviço Azure</w:t>
      </w:r>
      <w:r w:rsidR="00ED1331">
        <w:rPr>
          <w:color w:val="000000" w:themeColor="text1"/>
        </w:rPr>
        <w:t> </w:t>
      </w:r>
      <w:r w:rsidR="004005AF">
        <w:rPr>
          <w:color w:val="000000" w:themeColor="text1"/>
        </w:rPr>
        <w:t>Firewall implementado em duas ou mais Zonas de Disponibilidade durante o qual este Serviço permanece indisponível. Um determinado minuto é</w:t>
      </w:r>
      <w:r w:rsidR="00C55C00">
        <w:rPr>
          <w:color w:val="000000" w:themeColor="text1"/>
        </w:rPr>
        <w:t> </w:t>
      </w:r>
      <w:r w:rsidR="004005AF">
        <w:rPr>
          <w:color w:val="000000" w:themeColor="text1"/>
        </w:rPr>
        <w:t>considerado indisponível se todas as tentativas de ligação ao Serviço Azure Firewall durante esse minuto falharem.</w:t>
      </w:r>
    </w:p>
    <w:p w14:paraId="705028FD" w14:textId="1564E01F" w:rsidR="004005AF" w:rsidRPr="00ED4527" w:rsidRDefault="004005AF" w:rsidP="00F01ED6">
      <w:pPr>
        <w:pStyle w:val="ProductList-Body"/>
        <w:tabs>
          <w:tab w:val="clear" w:pos="360"/>
          <w:tab w:val="clear" w:pos="720"/>
          <w:tab w:val="clear" w:pos="1080"/>
        </w:tabs>
        <w:rPr>
          <w:color w:val="000000" w:themeColor="text1"/>
        </w:rPr>
      </w:pPr>
      <w:r>
        <w:t xml:space="preserve">A </w:t>
      </w:r>
      <w:r w:rsidR="00380305" w:rsidRPr="00380305">
        <w:t>“</w:t>
      </w:r>
      <w:r>
        <w:rPr>
          <w:b/>
          <w:bCs/>
          <w:color w:val="00188F"/>
        </w:rPr>
        <w:t>Percentagem de Período de Disponibilidade</w:t>
      </w:r>
      <w:r w:rsidR="00380305" w:rsidRPr="00380305">
        <w:t>”</w:t>
      </w:r>
      <w:r>
        <w:rPr>
          <w:color w:val="00188F"/>
        </w:rPr>
        <w:t xml:space="preserve"> </w:t>
      </w:r>
      <w:r>
        <w:rPr>
          <w:color w:val="000000" w:themeColor="text1"/>
        </w:rPr>
        <w:t>para firewalls do Azure implementadas em duas ou mais Zonas de Disponibilidade é calculada utilizando a seguinte fórmula:</w:t>
      </w:r>
    </w:p>
    <w:p w14:paraId="3CF7D48F" w14:textId="14307496"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AA24F9D" w14:textId="77777777" w:rsidR="004005AF" w:rsidRPr="008D2319"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em duas ou mais Zonas de disponibilidade numa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F348E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277097">
        <w:tc>
          <w:tcPr>
            <w:tcW w:w="5400" w:type="dxa"/>
          </w:tcPr>
          <w:p w14:paraId="3B9D5C82" w14:textId="77777777" w:rsidR="004005AF" w:rsidRPr="005A3C16" w:rsidRDefault="004005AF" w:rsidP="00F01ED6">
            <w:pPr>
              <w:pStyle w:val="ProductList-OfferingBody"/>
              <w:jc w:val="center"/>
            </w:pPr>
            <w:r>
              <w:t>&lt; 99,99%</w:t>
            </w:r>
          </w:p>
        </w:tc>
        <w:tc>
          <w:tcPr>
            <w:tcW w:w="5400" w:type="dxa"/>
          </w:tcPr>
          <w:p w14:paraId="1EF2AB30" w14:textId="77777777" w:rsidR="004005AF" w:rsidRPr="005A3C16" w:rsidRDefault="004005AF" w:rsidP="00F01ED6">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F01ED6">
            <w:pPr>
              <w:pStyle w:val="ProductList-OfferingBody"/>
              <w:jc w:val="center"/>
            </w:pPr>
            <w:r>
              <w:t>&lt; 99%</w:t>
            </w:r>
          </w:p>
        </w:tc>
        <w:tc>
          <w:tcPr>
            <w:tcW w:w="5400" w:type="dxa"/>
          </w:tcPr>
          <w:p w14:paraId="41B7CDB9" w14:textId="77777777" w:rsidR="004005AF" w:rsidRPr="005A3C16" w:rsidRDefault="004005AF" w:rsidP="00F01ED6">
            <w:pPr>
              <w:pStyle w:val="ProductList-OfferingBody"/>
              <w:jc w:val="center"/>
            </w:pPr>
            <w:r>
              <w:t>25%</w:t>
            </w:r>
          </w:p>
        </w:tc>
      </w:tr>
    </w:tbl>
    <w:bookmarkStart w:id="269" w:name="_Toc52348932"/>
    <w:p w14:paraId="2775EB3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54879A1" w14:textId="77777777" w:rsidR="00E76FE2" w:rsidRPr="00E76FE2" w:rsidRDefault="00E76FE2" w:rsidP="00844254">
      <w:pPr>
        <w:pStyle w:val="ProductList-Offering2Heading"/>
        <w:tabs>
          <w:tab w:val="clear" w:pos="360"/>
          <w:tab w:val="clear" w:pos="720"/>
          <w:tab w:val="clear" w:pos="1080"/>
        </w:tabs>
        <w:outlineLvl w:val="2"/>
      </w:pPr>
      <w:bookmarkStart w:id="270" w:name="_Toc214456819"/>
      <w:r>
        <w:t>Azure Fluid Relay</w:t>
      </w:r>
      <w:bookmarkEnd w:id="270"/>
    </w:p>
    <w:p w14:paraId="186ED242" w14:textId="77777777" w:rsidR="00E76FE2" w:rsidRPr="00E76FE2" w:rsidRDefault="00E76FE2" w:rsidP="00F01ED6">
      <w:pPr>
        <w:pStyle w:val="ProductList-Body"/>
        <w:rPr>
          <w:b/>
          <w:bCs/>
          <w:color w:val="00188F"/>
        </w:rPr>
      </w:pPr>
      <w:r>
        <w:rPr>
          <w:b/>
          <w:bCs/>
          <w:color w:val="00188F"/>
        </w:rPr>
        <w:t>Definições Adicionais</w:t>
      </w:r>
    </w:p>
    <w:p w14:paraId="6E84ED5D" w14:textId="6C53E6F5" w:rsidR="00E76FE2" w:rsidRDefault="00380305" w:rsidP="00F01ED6">
      <w:pPr>
        <w:pStyle w:val="ProductList-Body"/>
      </w:pPr>
      <w:r>
        <w:t>“</w:t>
      </w:r>
      <w:r w:rsidR="00E76FE2">
        <w:rPr>
          <w:b/>
          <w:bCs/>
          <w:color w:val="00188F"/>
        </w:rPr>
        <w:t>Máximo de Minutos Disponíveis</w:t>
      </w:r>
      <w:r>
        <w:t>”</w:t>
      </w:r>
      <w:r w:rsidR="00E76FE2">
        <w:t xml:space="preserve"> designa o total de minutos acumulados num Período Aplicável durante o qual pelo menos um recurso do Azure Fluid Relay esteve implementado numa subscrição do Microsoft Azure.</w:t>
      </w:r>
    </w:p>
    <w:p w14:paraId="2DE3F9A5" w14:textId="409D032E" w:rsidR="00E76FE2" w:rsidRDefault="00380305" w:rsidP="00F01ED6">
      <w:pPr>
        <w:pStyle w:val="ProductList-Body"/>
      </w:pPr>
      <w:r>
        <w:t>“</w:t>
      </w:r>
      <w:r w:rsidR="00E76FE2">
        <w:rPr>
          <w:b/>
          <w:bCs/>
          <w:color w:val="00188F"/>
        </w:rPr>
        <w:t>Período de Indisponibilidade</w:t>
      </w:r>
      <w:r>
        <w:t>”</w:t>
      </w:r>
      <w:r w:rsidR="00E76FE2">
        <w:t xml:space="preserve"> é o total acumulado de Máximo de Minutos Disponíveis num Período Aplicável durante o qual pelo menos um recurso do Azure Fluid Relay foi implementado, mas as chamadas de serviço para o recurso serviço Azure Fluid Relay estão indisponíveis.</w:t>
      </w:r>
    </w:p>
    <w:p w14:paraId="263517D6" w14:textId="26320E7D" w:rsidR="00E76FE2" w:rsidRDefault="00380305" w:rsidP="00F01ED6">
      <w:pPr>
        <w:pStyle w:val="ProductList-Body"/>
      </w:pPr>
      <w:r>
        <w:t>“</w:t>
      </w:r>
      <w:r w:rsidR="00E76FE2">
        <w:rPr>
          <w:b/>
          <w:bCs/>
          <w:color w:val="00188F"/>
        </w:rPr>
        <w:t>Percentagem de Período de Disponibilidade</w:t>
      </w:r>
      <w:r>
        <w:t>”</w:t>
      </w:r>
      <w:r w:rsidR="00E76FE2">
        <w:t xml:space="preserve"> A Percentagem de Período de Disponibilidade é calculada utilizando a seguinte fórmula:</w:t>
      </w:r>
    </w:p>
    <w:p w14:paraId="74504FF8" w14:textId="65979EEC" w:rsidR="00E76FE2" w:rsidRPr="00EF7CF9" w:rsidRDefault="00000000" w:rsidP="002B779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582B5E" w14:textId="77777777" w:rsidR="00E76FE2" w:rsidRPr="004F2381" w:rsidRDefault="00E76FE2" w:rsidP="00F01ED6">
      <w:pPr>
        <w:pStyle w:val="ProductList-Body"/>
        <w:keepNext/>
        <w:rPr>
          <w:b/>
          <w:bCs/>
          <w:color w:val="00188F"/>
        </w:rPr>
      </w:pPr>
      <w:r>
        <w:rPr>
          <w:b/>
          <w:bCs/>
          <w:color w:val="00188F"/>
        </w:rPr>
        <w:t>Os seguintes Níveis de Serviço e Créditos de Serviço são aplicáveis à utilização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BD83B4" w14:textId="77777777" w:rsidR="00E76FE2" w:rsidRPr="005A3C16" w:rsidRDefault="00E76FE2" w:rsidP="00F01ED6">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277097">
        <w:tc>
          <w:tcPr>
            <w:tcW w:w="5400" w:type="dxa"/>
          </w:tcPr>
          <w:p w14:paraId="6F23F302" w14:textId="71E99B8D" w:rsidR="00E76FE2" w:rsidRPr="005A3C16" w:rsidRDefault="00E76FE2" w:rsidP="00F01ED6">
            <w:pPr>
              <w:pStyle w:val="ProductList-OfferingBody"/>
              <w:jc w:val="center"/>
            </w:pPr>
            <w:r>
              <w:t>&lt; 99,9%</w:t>
            </w:r>
          </w:p>
        </w:tc>
        <w:tc>
          <w:tcPr>
            <w:tcW w:w="5400" w:type="dxa"/>
          </w:tcPr>
          <w:p w14:paraId="512E88FD" w14:textId="77777777" w:rsidR="00E76FE2" w:rsidRPr="005A3C16" w:rsidRDefault="00E76FE2" w:rsidP="00F01ED6">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F01ED6">
            <w:pPr>
              <w:pStyle w:val="ProductList-OfferingBody"/>
              <w:jc w:val="center"/>
            </w:pPr>
            <w:r>
              <w:t>&lt; 99%</w:t>
            </w:r>
          </w:p>
        </w:tc>
        <w:tc>
          <w:tcPr>
            <w:tcW w:w="5400" w:type="dxa"/>
          </w:tcPr>
          <w:p w14:paraId="7192BB89" w14:textId="77777777" w:rsidR="00E76FE2" w:rsidRPr="005A3C16" w:rsidRDefault="00E76FE2" w:rsidP="00F01ED6">
            <w:pPr>
              <w:pStyle w:val="ProductList-OfferingBody"/>
              <w:jc w:val="center"/>
            </w:pPr>
            <w:r>
              <w:t>25%</w:t>
            </w:r>
          </w:p>
        </w:tc>
      </w:tr>
    </w:tbl>
    <w:p w14:paraId="6345295B" w14:textId="77777777" w:rsidR="00445E4F" w:rsidRDefault="00445E4F" w:rsidP="00445E4F">
      <w:pPr>
        <w:pStyle w:val="ProductList-Body"/>
        <w:rPr>
          <w:rFonts w:ascii="Calibri" w:hAnsi="Calibri" w:cs="Calibri"/>
        </w:rPr>
      </w:pPr>
      <w:r>
        <w:rPr>
          <w:rFonts w:ascii="Calibri" w:hAnsi="Calibri" w:cs="Calibri"/>
          <w:b/>
          <w:color w:val="00188F"/>
        </w:rPr>
        <w:t>Exceções de Nível de Serviço</w:t>
      </w:r>
      <w:r w:rsidRPr="004C060D">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Não é fornecido nenhum SLA para a Camada Basic</w:t>
      </w:r>
      <w:r>
        <w:t>.</w:t>
      </w:r>
    </w:p>
    <w:p w14:paraId="6BD04C81" w14:textId="77777777" w:rsidR="00BD69A1" w:rsidRPr="00EF7CF9" w:rsidRDefault="00BD69A1" w:rsidP="00BD69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18DF4C1" w14:textId="77777777" w:rsidR="004F2381" w:rsidRPr="004F2381" w:rsidRDefault="004F2381" w:rsidP="00F01ED6">
      <w:pPr>
        <w:pStyle w:val="ProductList-Offering2Heading"/>
        <w:keepNext/>
        <w:tabs>
          <w:tab w:val="clear" w:pos="360"/>
          <w:tab w:val="clear" w:pos="720"/>
          <w:tab w:val="clear" w:pos="1080"/>
        </w:tabs>
        <w:outlineLvl w:val="2"/>
      </w:pPr>
      <w:bookmarkStart w:id="271" w:name="_Toc214456820"/>
      <w:r>
        <w:t>Azure Front Door e Azure Front Door (clássico)</w:t>
      </w:r>
      <w:bookmarkEnd w:id="271"/>
    </w:p>
    <w:p w14:paraId="4DF36CA6" w14:textId="19E613CE" w:rsidR="004F2381" w:rsidRPr="004F2381" w:rsidRDefault="00EE6E3C" w:rsidP="00F01ED6">
      <w:pPr>
        <w:pStyle w:val="ProductList-Body"/>
        <w:rPr>
          <w:b/>
          <w:bCs/>
          <w:color w:val="00188F"/>
        </w:rPr>
      </w:pPr>
      <w:r>
        <w:rPr>
          <w:b/>
          <w:bCs/>
          <w:color w:val="00188F"/>
        </w:rPr>
        <w:t>Cálculo do Período de Disponibilidade e Níveis de Serviço para o Azure Front Door e o Azure Front Door (clássico)</w:t>
      </w:r>
    </w:p>
    <w:p w14:paraId="0E9C02A9" w14:textId="77777777" w:rsidR="004F2381" w:rsidRDefault="004F2381" w:rsidP="00F01ED6">
      <w:pPr>
        <w:pStyle w:val="ProductList-Body"/>
      </w:pPr>
      <w:r>
        <w:t>A Microsoft analisará os dados de qualquer sistema de medição independente razoável do ponto de vista comercial utilizado pelo Cliente.</w:t>
      </w:r>
    </w:p>
    <w:p w14:paraId="6175FD2A" w14:textId="77777777" w:rsidR="00E80B8A" w:rsidRDefault="00E80B8A" w:rsidP="00F01ED6">
      <w:pPr>
        <w:pStyle w:val="ProductList-Body"/>
      </w:pPr>
    </w:p>
    <w:p w14:paraId="418C34AA" w14:textId="0532A725" w:rsidR="004F2381" w:rsidRDefault="004F2381" w:rsidP="00F01ED6">
      <w:pPr>
        <w:pStyle w:val="ProductList-Body"/>
      </w:pPr>
      <w:r>
        <w:t>O Cliente tem de selecionar um conjunto de agentes da lista do sistema de medição de agentes padrão que estão normalmente disponíveis e</w:t>
      </w:r>
      <w:r w:rsidR="00C55C00">
        <w:t> </w:t>
      </w:r>
      <w:r>
        <w:t>representados em pelo menos cinco localizações diversas geograficamente nas maiores áreas metropolitanas do mundo (excluindo a República Popular da China).</w:t>
      </w:r>
    </w:p>
    <w:p w14:paraId="6FBDA486" w14:textId="77777777" w:rsidR="004F2381" w:rsidRDefault="004F2381" w:rsidP="00F01ED6">
      <w:pPr>
        <w:pStyle w:val="ProductList-Body"/>
        <w:numPr>
          <w:ilvl w:val="0"/>
          <w:numId w:val="18"/>
        </w:numPr>
      </w:pPr>
      <w:r>
        <w:t>Os testes do Sistema de Medição (frequência de pelo menos um teste a cada 5 minutos por agente) serão configurados para executar uma operação HTTP GET de acordo com o modelo abaixo:</w:t>
      </w:r>
    </w:p>
    <w:p w14:paraId="595DA6A2" w14:textId="77777777" w:rsidR="004F2381" w:rsidRDefault="004F2381" w:rsidP="00F01ED6">
      <w:pPr>
        <w:pStyle w:val="ProductList-Body"/>
        <w:numPr>
          <w:ilvl w:val="0"/>
          <w:numId w:val="18"/>
        </w:numPr>
      </w:pPr>
      <w:r>
        <w:t>Um ficheiro de teste será colocado no backend do Cliente (por exemplo, conta de Armazenamento do Azure).</w:t>
      </w:r>
    </w:p>
    <w:p w14:paraId="78CE7BBA" w14:textId="3F9AB887" w:rsidR="004F2381" w:rsidRDefault="004F2381" w:rsidP="00F01ED6">
      <w:pPr>
        <w:pStyle w:val="ProductList-Body"/>
        <w:numPr>
          <w:ilvl w:val="0"/>
          <w:numId w:val="18"/>
        </w:numPr>
      </w:pPr>
      <w:r>
        <w:t>A operação GET obterá o ficheiro através do Azure Front Door Service e do Azure Front Door (clássico) ao pedir o objeto do nome do</w:t>
      </w:r>
      <w:r w:rsidR="00B21533">
        <w:t> </w:t>
      </w:r>
      <w:r>
        <w:t>anfitrião correspondente ao nome de domínio do Microsoft Azure.</w:t>
      </w:r>
    </w:p>
    <w:p w14:paraId="246D7779" w14:textId="77777777" w:rsidR="004F2381" w:rsidRDefault="004F2381" w:rsidP="00F01ED6">
      <w:pPr>
        <w:pStyle w:val="ProductList-Body"/>
        <w:numPr>
          <w:ilvl w:val="0"/>
          <w:numId w:val="18"/>
        </w:numPr>
      </w:pPr>
      <w:r>
        <w:t>O ficheiro de teste cumprirá os seguintes critérios:</w:t>
      </w:r>
    </w:p>
    <w:p w14:paraId="168D1BD3" w14:textId="77777777" w:rsidR="004F2381" w:rsidRDefault="004F2381" w:rsidP="00F01ED6">
      <w:pPr>
        <w:pStyle w:val="ProductList-Body"/>
        <w:numPr>
          <w:ilvl w:val="0"/>
          <w:numId w:val="19"/>
        </w:numPr>
        <w:ind w:left="1080"/>
      </w:pPr>
      <w:r>
        <w:t>O objeto de teste será um ficheiro com um tamanho de, pelo menos, 50 KB.</w:t>
      </w:r>
    </w:p>
    <w:p w14:paraId="3E713057" w14:textId="121D57DC" w:rsidR="004F2381" w:rsidRDefault="004F2381" w:rsidP="00F01ED6">
      <w:pPr>
        <w:pStyle w:val="ProductList-Body"/>
        <w:numPr>
          <w:ilvl w:val="0"/>
          <w:numId w:val="19"/>
        </w:numPr>
        <w:ind w:left="1080"/>
      </w:pPr>
      <w:r>
        <w:t>Os dados não processados serão organizados de modo a eliminar quaisquer medições que sejam provenientes de um agente com problemas técnicos durante o período de medição.</w:t>
      </w:r>
    </w:p>
    <w:p w14:paraId="17584669" w14:textId="1F8E760D" w:rsidR="004F2381" w:rsidRPr="00A11775" w:rsidRDefault="00380305" w:rsidP="00F01ED6">
      <w:pPr>
        <w:pStyle w:val="ProductList-Body"/>
        <w:rPr>
          <w:szCs w:val="18"/>
        </w:rPr>
      </w:pPr>
      <w:r w:rsidRPr="00A11775">
        <w:rPr>
          <w:szCs w:val="18"/>
        </w:rPr>
        <w:t>“</w:t>
      </w:r>
      <w:r w:rsidR="004F2381" w:rsidRPr="00A11775">
        <w:rPr>
          <w:b/>
          <w:bCs/>
          <w:color w:val="00188F"/>
          <w:szCs w:val="18"/>
        </w:rPr>
        <w:t>Percentagem de Período de Disponibilidade</w:t>
      </w:r>
      <w:r w:rsidRPr="00A11775">
        <w:rPr>
          <w:szCs w:val="18"/>
        </w:rPr>
        <w:t>”</w:t>
      </w:r>
      <w:r w:rsidR="004F2381" w:rsidRPr="00A11775">
        <w:rPr>
          <w:szCs w:val="18"/>
        </w:rPr>
        <w:t xml:space="preserve"> é a percentagem de transações de HTTP em que o Azure Front Door e o Azure Front Door (clássico) respondem aos pedidos de cliente e fornecem o conteúdo pedido sem erros. A Percentagem de Período de Disponibilidade do Azure Front Door e</w:t>
      </w:r>
      <w:r w:rsidR="00823808">
        <w:rPr>
          <w:szCs w:val="18"/>
        </w:rPr>
        <w:t> </w:t>
      </w:r>
      <w:r w:rsidR="004F2381" w:rsidRPr="00A11775">
        <w:rPr>
          <w:szCs w:val="18"/>
        </w:rPr>
        <w:t>do Azure Front Door (clássico) é calculada como o número de vezes que o objeto foi fornecido com êxito a dividir pelo número total de pedidos (depois de remover os dados incorretos).</w:t>
      </w:r>
    </w:p>
    <w:p w14:paraId="3091E497" w14:textId="77777777" w:rsidR="004F2381" w:rsidRDefault="004F2381" w:rsidP="00F01ED6">
      <w:pPr>
        <w:pStyle w:val="ProductList-Body"/>
      </w:pPr>
    </w:p>
    <w:p w14:paraId="67FB4267" w14:textId="77777777" w:rsidR="004F2381" w:rsidRPr="004F2381" w:rsidRDefault="004F2381" w:rsidP="00F01ED6">
      <w:pPr>
        <w:pStyle w:val="ProductList-Body"/>
        <w:rPr>
          <w:b/>
          <w:bCs/>
          <w:color w:val="00188F"/>
        </w:rPr>
      </w:pPr>
      <w:r>
        <w:rPr>
          <w:b/>
          <w:bCs/>
          <w:color w:val="00188F"/>
        </w:rPr>
        <w:lastRenderedPageBreak/>
        <w:t>Os seguintes Níveis de Serviço e Créditos de Serviço são aplicáveis à utilização que o Cliente faz do Azure Front Door Service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4F82E53" w14:textId="77777777" w:rsidR="004F2381" w:rsidRPr="005A3C16" w:rsidRDefault="004F2381" w:rsidP="00F01ED6">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277097">
        <w:tc>
          <w:tcPr>
            <w:tcW w:w="5400" w:type="dxa"/>
          </w:tcPr>
          <w:p w14:paraId="233930EB" w14:textId="61EBE563" w:rsidR="004F2381" w:rsidRPr="005A3C16" w:rsidRDefault="004F2381" w:rsidP="00F01ED6">
            <w:pPr>
              <w:pStyle w:val="ProductList-OfferingBody"/>
              <w:jc w:val="center"/>
            </w:pPr>
            <w:r>
              <w:t>&lt; 99,99%</w:t>
            </w:r>
          </w:p>
        </w:tc>
        <w:tc>
          <w:tcPr>
            <w:tcW w:w="5400" w:type="dxa"/>
          </w:tcPr>
          <w:p w14:paraId="64166E7A" w14:textId="77777777" w:rsidR="004F2381" w:rsidRPr="005A3C16" w:rsidRDefault="004F2381" w:rsidP="00F01ED6">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F01ED6">
            <w:pPr>
              <w:pStyle w:val="ProductList-OfferingBody"/>
              <w:jc w:val="center"/>
            </w:pPr>
            <w:r>
              <w:t>&lt; 99,9%</w:t>
            </w:r>
          </w:p>
        </w:tc>
        <w:tc>
          <w:tcPr>
            <w:tcW w:w="5400" w:type="dxa"/>
          </w:tcPr>
          <w:p w14:paraId="2E8B9EF7" w14:textId="77777777" w:rsidR="004F2381" w:rsidRPr="005A3C16" w:rsidRDefault="004F2381" w:rsidP="00F01ED6">
            <w:pPr>
              <w:pStyle w:val="ProductList-OfferingBody"/>
              <w:jc w:val="center"/>
            </w:pPr>
            <w:r>
              <w:t>25%</w:t>
            </w:r>
          </w:p>
        </w:tc>
      </w:tr>
    </w:tbl>
    <w:p w14:paraId="00D3F7B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4D9DDFE" w14:textId="77777777" w:rsidR="00BA2ACE" w:rsidRPr="00BA2ACE" w:rsidRDefault="00BA2ACE" w:rsidP="00F01ED6">
      <w:pPr>
        <w:pStyle w:val="ProductList-Offering2Heading"/>
        <w:keepNext/>
        <w:tabs>
          <w:tab w:val="clear" w:pos="360"/>
          <w:tab w:val="clear" w:pos="720"/>
          <w:tab w:val="clear" w:pos="1080"/>
        </w:tabs>
        <w:outlineLvl w:val="2"/>
      </w:pPr>
      <w:bookmarkStart w:id="272" w:name="_Toc214456821"/>
      <w:r>
        <w:t>Funções do Azure</w:t>
      </w:r>
      <w:bookmarkEnd w:id="272"/>
    </w:p>
    <w:p w14:paraId="052624BB" w14:textId="77777777" w:rsidR="00BA2ACE" w:rsidRPr="00BA2ACE" w:rsidRDefault="00BA2ACE" w:rsidP="00F01ED6">
      <w:pPr>
        <w:pStyle w:val="ProductList-Body"/>
        <w:rPr>
          <w:b/>
          <w:bCs/>
          <w:color w:val="00188F"/>
        </w:rPr>
      </w:pPr>
      <w:r>
        <w:rPr>
          <w:b/>
          <w:bCs/>
          <w:color w:val="00188F"/>
        </w:rPr>
        <w:t>Definições Adicionais</w:t>
      </w:r>
    </w:p>
    <w:p w14:paraId="235BCA0A" w14:textId="3C494D18" w:rsidR="00BA2ACE" w:rsidRDefault="00380305" w:rsidP="002B779A">
      <w:pPr>
        <w:pStyle w:val="ProductList-Body"/>
      </w:pPr>
      <w:r>
        <w:t>“</w:t>
      </w:r>
      <w:r w:rsidR="00BA2ACE">
        <w:rPr>
          <w:b/>
          <w:bCs/>
          <w:color w:val="00188F"/>
        </w:rPr>
        <w:t>Aplicação de Funções</w:t>
      </w:r>
      <w:r>
        <w:t>”</w:t>
      </w:r>
      <w:r w:rsidR="00BA2ACE">
        <w:t xml:space="preserve"> designa o conjunto de uma ou mais funções implementadas com um acionador (</w:t>
      </w:r>
      <w:r>
        <w:t>“</w:t>
      </w:r>
      <w:r w:rsidR="00BA2ACE">
        <w:t>trigger</w:t>
      </w:r>
      <w:r>
        <w:t>”</w:t>
      </w:r>
      <w:r w:rsidR="00BA2ACE">
        <w:t>) associado.</w:t>
      </w:r>
    </w:p>
    <w:p w14:paraId="4B85BC3C" w14:textId="058CB4EA" w:rsidR="00BA2ACE" w:rsidRPr="00BA2ACE" w:rsidRDefault="00EE6E3C" w:rsidP="002B779A">
      <w:pPr>
        <w:pStyle w:val="ProductList-Body"/>
        <w:rPr>
          <w:b/>
          <w:bCs/>
          <w:color w:val="00188F"/>
        </w:rPr>
      </w:pPr>
      <w:r>
        <w:rPr>
          <w:b/>
          <w:bCs/>
          <w:color w:val="00188F"/>
        </w:rPr>
        <w:t>Cálculo do Período de Disponibilidade e Níveis de Serviço para a Aplicação de Funções no Plano de Consumo</w:t>
      </w:r>
    </w:p>
    <w:p w14:paraId="64932D86" w14:textId="09A80AFB" w:rsidR="00BA2ACE" w:rsidRDefault="00380305" w:rsidP="002B779A">
      <w:pPr>
        <w:pStyle w:val="ProductList-Body"/>
      </w:pPr>
      <w:r>
        <w:t>“</w:t>
      </w:r>
      <w:r w:rsidR="00BA2ACE">
        <w:rPr>
          <w:b/>
          <w:bCs/>
          <w:color w:val="00188F"/>
        </w:rPr>
        <w:t>Total de Execuções Desencadeadas</w:t>
      </w:r>
      <w:r>
        <w:t>”</w:t>
      </w:r>
      <w:r w:rsidR="00BA2ACE">
        <w:t xml:space="preserve"> designa o número total de todas as execuções de Aplicações de Funções desencadeadas pelo Cliente numa dada subscrição da Microsoft Azure ao longo de Período Aplicável.</w:t>
      </w:r>
    </w:p>
    <w:p w14:paraId="1096786D" w14:textId="014F62FD" w:rsidR="00BA2ACE" w:rsidRPr="00E80B8A" w:rsidRDefault="00380305" w:rsidP="002B779A">
      <w:pPr>
        <w:pStyle w:val="ProductList-Body"/>
        <w:jc w:val="both"/>
        <w:rPr>
          <w:spacing w:val="-3"/>
        </w:rPr>
      </w:pPr>
      <w:r>
        <w:rPr>
          <w:spacing w:val="-3"/>
        </w:rPr>
        <w:t>“</w:t>
      </w:r>
      <w:r w:rsidR="00BA2ACE" w:rsidRPr="00E80B8A">
        <w:rPr>
          <w:b/>
          <w:bCs/>
          <w:color w:val="00188F"/>
          <w:spacing w:val="-3"/>
        </w:rPr>
        <w:t>Execuções Indisponíveis</w:t>
      </w:r>
      <w:r>
        <w:rPr>
          <w:spacing w:val="-3"/>
        </w:rPr>
        <w:t>”</w:t>
      </w:r>
      <w:r w:rsidR="00BA2ACE" w:rsidRPr="00E80B8A">
        <w:rPr>
          <w:spacing w:val="-3"/>
        </w:rPr>
        <w:t xml:space="preserve"> designa o número total de execuções que falharam no Total de Execuções Desencadeadas. Existe uma falha na execução quando o registo do histórico da Aplicação de Funções não recebe quaisquer resultados nos 5 (cinco) minutos seguintes ao desencadeamento do acionador.</w:t>
      </w:r>
    </w:p>
    <w:p w14:paraId="689CE859" w14:textId="47B730B1" w:rsidR="00BA2ACE" w:rsidRDefault="00BA2ACE" w:rsidP="002B779A">
      <w:pPr>
        <w:pStyle w:val="ProductList-Body"/>
      </w:pPr>
      <w:r>
        <w:t xml:space="preserve">A </w:t>
      </w:r>
      <w:r w:rsidR="00380305">
        <w:t>“</w:t>
      </w:r>
      <w:r>
        <w:rPr>
          <w:b/>
          <w:bCs/>
          <w:color w:val="00188F"/>
        </w:rPr>
        <w:t>Percentagem de Período de Disponibilidade</w:t>
      </w:r>
      <w:r w:rsidR="00380305">
        <w:t>”</w:t>
      </w:r>
      <w:r>
        <w:t xml:space="preserve"> para as Aplicações de Funções no Plano de consumo é calculada ao deduzir ao Total de Execuções Desencadeadas o número de Execuções Indisponíveis e dividindo o resultado pelo Total de Execuções Desencadeadas multiplicado por 100.</w:t>
      </w:r>
    </w:p>
    <w:p w14:paraId="293767FF" w14:textId="11ACDEF3" w:rsidR="00BA2ACE" w:rsidRPr="00BA2ACE" w:rsidRDefault="00000000" w:rsidP="002B779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x 100</m:t>
          </m:r>
        </m:oMath>
      </m:oMathPara>
    </w:p>
    <w:p w14:paraId="4D9D763B" w14:textId="154342A9" w:rsidR="00BA2ACE" w:rsidRPr="00BA2ACE" w:rsidRDefault="00BA2ACE" w:rsidP="00F01ED6">
      <w:pPr>
        <w:pStyle w:val="ProductList-Body"/>
        <w:keepNext/>
        <w:rPr>
          <w:b/>
          <w:bCs/>
          <w:color w:val="00188F"/>
        </w:rPr>
      </w:pPr>
      <w:r>
        <w:rPr>
          <w:b/>
          <w:bCs/>
          <w:color w:val="00188F"/>
        </w:rPr>
        <w:t>Os Níveis de Serviço e Créditos de Serviço seguintes são aplicáveis à utilização que o Cliente faz da Aplicação de Funções no plano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1CB9C4F"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277097">
        <w:trPr>
          <w:trHeight w:val="242"/>
        </w:trPr>
        <w:tc>
          <w:tcPr>
            <w:tcW w:w="5400" w:type="dxa"/>
          </w:tcPr>
          <w:p w14:paraId="2030FE8B" w14:textId="77777777" w:rsidR="00BA2ACE" w:rsidRPr="00EF7CF9" w:rsidRDefault="00BA2ACE" w:rsidP="00F01ED6">
            <w:pPr>
              <w:pStyle w:val="ProductList-OfferingBody"/>
              <w:jc w:val="center"/>
            </w:pPr>
            <w:r>
              <w:t>&lt; 99,95%</w:t>
            </w:r>
          </w:p>
        </w:tc>
        <w:tc>
          <w:tcPr>
            <w:tcW w:w="5400" w:type="dxa"/>
          </w:tcPr>
          <w:p w14:paraId="12A1DCF6" w14:textId="77777777" w:rsidR="00BA2ACE" w:rsidRPr="00EF7CF9" w:rsidRDefault="00BA2ACE" w:rsidP="00F01ED6">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F01ED6">
            <w:pPr>
              <w:pStyle w:val="ProductList-OfferingBody"/>
              <w:jc w:val="center"/>
            </w:pPr>
            <w:r>
              <w:t>&lt; 99%</w:t>
            </w:r>
          </w:p>
        </w:tc>
        <w:tc>
          <w:tcPr>
            <w:tcW w:w="5400" w:type="dxa"/>
          </w:tcPr>
          <w:p w14:paraId="201A7205" w14:textId="77777777" w:rsidR="00BA2ACE" w:rsidRPr="00EF7CF9" w:rsidRDefault="00BA2ACE" w:rsidP="00F01ED6">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F01ED6">
            <w:pPr>
              <w:pStyle w:val="ProductList-OfferingBody"/>
              <w:jc w:val="center"/>
            </w:pPr>
            <w:r>
              <w:t>&lt; 95%</w:t>
            </w:r>
          </w:p>
        </w:tc>
        <w:tc>
          <w:tcPr>
            <w:tcW w:w="5400" w:type="dxa"/>
          </w:tcPr>
          <w:p w14:paraId="0B8D9475" w14:textId="77777777" w:rsidR="00BA2ACE" w:rsidRPr="00EF7CF9" w:rsidRDefault="00BA2ACE" w:rsidP="00F01ED6">
            <w:pPr>
              <w:pStyle w:val="ProductList-OfferingBody"/>
              <w:jc w:val="center"/>
            </w:pPr>
            <w:r>
              <w:t>100%</w:t>
            </w:r>
          </w:p>
        </w:tc>
      </w:tr>
    </w:tbl>
    <w:p w14:paraId="010BBF7A" w14:textId="77777777" w:rsidR="00E00488" w:rsidRPr="006629FF" w:rsidRDefault="00E00488" w:rsidP="00E00488">
      <w:pPr>
        <w:pStyle w:val="ProductList-Body"/>
        <w:keepNext/>
        <w:spacing w:before="120"/>
        <w:rPr>
          <w:rFonts w:ascii="Calibri" w:hAnsi="Calibri" w:cs="Calibri"/>
          <w:b/>
          <w:bCs/>
          <w:color w:val="00188F"/>
        </w:rPr>
      </w:pPr>
      <w:r>
        <w:rPr>
          <w:rFonts w:ascii="Calibri" w:hAnsi="Calibri" w:cs="Calibri"/>
          <w:b/>
          <w:bCs/>
          <w:color w:val="00188F"/>
        </w:rPr>
        <w:t>Cálculo do Período de Disponibilidade e Níveis de Serviço para as Aplicações de Funções no Plano de Consumo Flexível, Plano Premium ou Plano Serviço de Aplicações Dedicado</w:t>
      </w:r>
    </w:p>
    <w:p w14:paraId="3ABD5069"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Minutos de Implementação</w:t>
      </w:r>
      <w:r>
        <w:rPr>
          <w:rFonts w:ascii="Calibri" w:hAnsi="Calibri" w:cs="Calibri"/>
        </w:rPr>
        <w:t>” designa o número total de minutos durante os quais uma determinada Aplicação de Função está disponível para acionamento durante um Período Aplicável. Os Minutos de Implementação são medidos com base no tempo total que o serviço está disponível para acionar uma execução de função e não com base no número potencial de execuções de funções que poderão ser acionadas durante um Período Aplicável.</w:t>
      </w:r>
    </w:p>
    <w:p w14:paraId="0BC2A29E"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a soma de todos os Minutos de Implementação para uma determinada Aplicação de Função implementada pelo Cliente numa determinada subscrição do Microsoft Azure durante um Período Aplicável.</w:t>
      </w:r>
    </w:p>
    <w:p w14:paraId="44E53781"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Período de Indisponibilidade</w:t>
      </w:r>
      <w:r>
        <w:rPr>
          <w:rFonts w:ascii="Calibri" w:hAnsi="Calibri" w:cs="Calibri"/>
        </w:rPr>
        <w:t>” designa o número total de minutos durante o Máximo de Minutos Disponíveis durante os quais a Aplicação de Funções está indisponível para ser acionada. Um minuto é considerado indisponível para uma determinada Aplicação de Função quando não existe nenhuma conectividade entre o plano onde a Aplicação de Funções está alojada (o plano Consumo Flexível, o plano Premium ou o plano Serviço de Aplicações Dedicado) e o gateway de Internet da Microsoft.</w:t>
      </w:r>
    </w:p>
    <w:p w14:paraId="288F1ADE" w14:textId="77777777" w:rsidR="00E00488" w:rsidRDefault="00E00488" w:rsidP="00E00488">
      <w:pPr>
        <w:pStyle w:val="ProductList-Body"/>
        <w:rPr>
          <w:rFonts w:ascii="Calibri" w:hAnsi="Calibri" w:cs="Calibri"/>
        </w:rPr>
      </w:pPr>
      <w:r>
        <w:t xml:space="preserve">A </w:t>
      </w:r>
      <w:r>
        <w:rPr>
          <w:rFonts w:ascii="Calibri" w:hAnsi="Calibri" w:cs="Calibri"/>
        </w:rPr>
        <w:t>“</w:t>
      </w:r>
      <w:r>
        <w:rPr>
          <w:rFonts w:ascii="Calibri" w:hAnsi="Calibri" w:cs="Calibri"/>
          <w:b/>
          <w:bCs/>
          <w:color w:val="00188F"/>
        </w:rPr>
        <w:t>Percentagem de Período de Disponibilidade</w:t>
      </w:r>
      <w:r>
        <w:rPr>
          <w:rFonts w:ascii="Calibri" w:hAnsi="Calibri" w:cs="Calibri"/>
        </w:rPr>
        <w:t>” para as Aplicações de Funções no plano Consumo Flexível, no plano Premium ou no plano Serviço de Aplicações Dedicado é calculada como o Máximo de Minutos Disponíveis menos o Período de Indisponibilidade e dividido pelo resultado pelo Máximo de Minutos Disponíveis, multiplicado por 100.</w:t>
      </w:r>
    </w:p>
    <w:p w14:paraId="032F4CDF" w14:textId="0849581E" w:rsidR="00BA2ACE" w:rsidRPr="00EF7CF9" w:rsidRDefault="00000000" w:rsidP="009F16F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8444FF0" w14:textId="1763E357" w:rsidR="00BA2ACE" w:rsidRPr="00BA2ACE" w:rsidRDefault="00BA2ACE"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E8C7445"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277097">
        <w:trPr>
          <w:trHeight w:val="242"/>
        </w:trPr>
        <w:tc>
          <w:tcPr>
            <w:tcW w:w="5400" w:type="dxa"/>
          </w:tcPr>
          <w:p w14:paraId="01A3A320" w14:textId="77777777" w:rsidR="00BA2ACE" w:rsidRPr="00EF7CF9" w:rsidRDefault="00BA2ACE" w:rsidP="00F01ED6">
            <w:pPr>
              <w:pStyle w:val="ProductList-OfferingBody"/>
              <w:jc w:val="center"/>
            </w:pPr>
            <w:r>
              <w:t>&lt; 99,95%</w:t>
            </w:r>
          </w:p>
        </w:tc>
        <w:tc>
          <w:tcPr>
            <w:tcW w:w="5400" w:type="dxa"/>
          </w:tcPr>
          <w:p w14:paraId="7DB5AE74" w14:textId="77777777" w:rsidR="00BA2ACE" w:rsidRPr="00EF7CF9" w:rsidRDefault="00BA2ACE" w:rsidP="00F01ED6">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F01ED6">
            <w:pPr>
              <w:pStyle w:val="ProductList-OfferingBody"/>
              <w:jc w:val="center"/>
            </w:pPr>
            <w:r>
              <w:t>&lt; 99%</w:t>
            </w:r>
          </w:p>
        </w:tc>
        <w:tc>
          <w:tcPr>
            <w:tcW w:w="5400" w:type="dxa"/>
          </w:tcPr>
          <w:p w14:paraId="41BED183" w14:textId="77777777" w:rsidR="00BA2ACE" w:rsidRPr="00EF7CF9" w:rsidRDefault="00BA2ACE" w:rsidP="00F01ED6">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1834DE">
            <w:pPr>
              <w:pStyle w:val="ProductList-OfferingBody"/>
              <w:jc w:val="center"/>
            </w:pPr>
            <w:r>
              <w:t>&lt; 95%</w:t>
            </w:r>
          </w:p>
        </w:tc>
        <w:tc>
          <w:tcPr>
            <w:tcW w:w="5400" w:type="dxa"/>
          </w:tcPr>
          <w:p w14:paraId="5C85EFDB" w14:textId="77777777" w:rsidR="00BA2ACE" w:rsidRPr="00EF7CF9" w:rsidRDefault="00BA2ACE" w:rsidP="001834DE">
            <w:pPr>
              <w:pStyle w:val="ProductList-OfferingBody"/>
              <w:jc w:val="center"/>
            </w:pPr>
            <w:r>
              <w:t>100%</w:t>
            </w:r>
          </w:p>
        </w:tc>
      </w:tr>
    </w:tbl>
    <w:bookmarkStart w:id="273" w:name="_Toc457821551"/>
    <w:bookmarkStart w:id="274" w:name="_Toc52348957"/>
    <w:p w14:paraId="76C1605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B4AC3EE" w14:textId="77777777" w:rsidR="001100E3" w:rsidRDefault="001100E3">
      <w:pPr>
        <w:rPr>
          <w:rFonts w:asciiTheme="majorHAnsi" w:hAnsiTheme="majorHAnsi"/>
          <w:b/>
          <w:color w:val="0072C6"/>
          <w:sz w:val="28"/>
        </w:rPr>
      </w:pPr>
      <w:r>
        <w:br w:type="page"/>
      </w:r>
    </w:p>
    <w:p w14:paraId="701F8FF7" w14:textId="32D18792" w:rsidR="00237F16" w:rsidRPr="00237F16" w:rsidRDefault="00237F16" w:rsidP="00237F16">
      <w:pPr>
        <w:pStyle w:val="ProductList-Offering2Heading"/>
        <w:tabs>
          <w:tab w:val="clear" w:pos="360"/>
          <w:tab w:val="clear" w:pos="720"/>
          <w:tab w:val="clear" w:pos="1080"/>
        </w:tabs>
        <w:outlineLvl w:val="2"/>
      </w:pPr>
      <w:bookmarkStart w:id="275" w:name="_Toc214456822"/>
      <w:r w:rsidRPr="00237F16">
        <w:lastRenderedPageBreak/>
        <w:t>Acesso Seguro Global</w:t>
      </w:r>
      <w:bookmarkEnd w:id="275"/>
    </w:p>
    <w:p w14:paraId="05E2EB19"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Acesso Privado do Microsoft Entra e Acesso à Internet do Microsoft Entra</w:t>
      </w:r>
    </w:p>
    <w:p w14:paraId="6D61D501"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Definições Adicionais</w:t>
      </w:r>
    </w:p>
    <w:p w14:paraId="5D3566AC" w14:textId="77777777" w:rsidR="00237F16" w:rsidRPr="004C1229" w:rsidRDefault="00237F16" w:rsidP="00237F16">
      <w:pPr>
        <w:pStyle w:val="ProductList-Body"/>
        <w:rPr>
          <w:rFonts w:ascii="Calibri" w:hAnsi="Calibri" w:cs="Calibri"/>
        </w:rPr>
      </w:pPr>
      <w:r>
        <w:rPr>
          <w:rFonts w:ascii="Calibri" w:hAnsi="Calibri" w:cs="Calibri"/>
          <w:b/>
          <w:color w:val="00188F"/>
        </w:rPr>
        <w:t xml:space="preserve">Período de Indisponibilidade: </w:t>
      </w:r>
      <w:r>
        <w:rPr>
          <w:rFonts w:ascii="Calibri" w:hAnsi="Calibri" w:cs="Calibri"/>
        </w:rPr>
        <w:t>Qualquer período de tempo em que o Acesso Seguro Global não esteja disponível para aceitar ou processar Transações ou Sessões. O período de indisponibilidade não inclui a indisponibilidade da interface de utilizador Web (IU), as API e o processamento de registos. Um determinado minuto é considerado indisponível se todas as tentativas de ligação ao GSA durante esse minuto falharem ou, mesmo que estabeleçam ligação, o GSA não consegue processar as Transações ou as Sessões.</w:t>
      </w:r>
    </w:p>
    <w:p w14:paraId="64B0B01F" w14:textId="77777777" w:rsidR="00237F16" w:rsidRPr="004C1229" w:rsidRDefault="00237F16" w:rsidP="00237F16">
      <w:pPr>
        <w:pStyle w:val="ProductList-Body"/>
        <w:rPr>
          <w:rFonts w:ascii="Calibri" w:hAnsi="Calibri" w:cs="Calibri"/>
        </w:rPr>
      </w:pPr>
      <w:r>
        <w:rPr>
          <w:rFonts w:ascii="Calibri" w:hAnsi="Calibri" w:cs="Calibri"/>
          <w:b/>
          <w:color w:val="00188F"/>
        </w:rPr>
        <w:t>Transação:</w:t>
      </w:r>
      <w:r>
        <w:rPr>
          <w:rFonts w:ascii="Calibri" w:hAnsi="Calibri" w:cs="Calibri"/>
        </w:rPr>
        <w:t xml:space="preserve"> Um pedido HTTP ou HTTPS enviado para ou a partir da utilização do GSA por um utilizador final.</w:t>
      </w:r>
    </w:p>
    <w:p w14:paraId="696174B8" w14:textId="77777777" w:rsidR="00237F16" w:rsidRPr="004C1229" w:rsidRDefault="00237F16" w:rsidP="00237F16">
      <w:pPr>
        <w:pStyle w:val="ProductList-Body"/>
        <w:rPr>
          <w:rFonts w:ascii="Calibri" w:hAnsi="Calibri" w:cs="Calibri"/>
        </w:rPr>
      </w:pPr>
      <w:r>
        <w:rPr>
          <w:rFonts w:ascii="Calibri" w:hAnsi="Calibri" w:cs="Calibri"/>
          <w:b/>
          <w:color w:val="00188F"/>
        </w:rPr>
        <w:t>Sessão:</w:t>
      </w:r>
      <w:r>
        <w:rPr>
          <w:rFonts w:ascii="Calibri" w:hAnsi="Calibri" w:cs="Calibri"/>
        </w:rPr>
        <w:t xml:space="preserve"> Qualquer pedido não HTTP ou não HTTPS para ou a partir da utilização do GSA por um utilizador final.</w:t>
      </w:r>
    </w:p>
    <w:p w14:paraId="5AC7A06B" w14:textId="77777777" w:rsidR="00237F16" w:rsidRPr="004C1229" w:rsidRDefault="00237F16" w:rsidP="00237F16">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xml:space="preserve"> A Percentagem de Período de Disponibilidade é calculada através da seguinte fórmula:</w:t>
      </w:r>
    </w:p>
    <w:p w14:paraId="45AA3651" w14:textId="77777777" w:rsidR="00237F16" w:rsidRDefault="00000000" w:rsidP="009F16F1">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Minutos de utilizador - Período de Indisponibilidade</m:t>
              </m:r>
            </m:num>
            <m:den>
              <m:r>
                <m:rPr>
                  <m:nor/>
                </m:rPr>
                <w:rPr>
                  <w:rFonts w:ascii="Cambria Math" w:hAnsi="Cambria Math" w:cs="Tahoma"/>
                  <w:i/>
                  <w:szCs w:val="18"/>
                </w:rPr>
                <m:t>Minutos de Utilizador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DC8820F" w14:textId="77777777" w:rsidR="00237F16" w:rsidRPr="004C1229" w:rsidRDefault="00237F16" w:rsidP="00237F16">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4CEF9C5"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Exceções de Nível de Serviço:</w:t>
      </w:r>
    </w:p>
    <w:p w14:paraId="5350E69D" w14:textId="77777777" w:rsidR="00237F16" w:rsidRPr="004C1229" w:rsidRDefault="00237F16" w:rsidP="00237F16">
      <w:pPr>
        <w:pStyle w:val="ProductList-Body"/>
        <w:numPr>
          <w:ilvl w:val="0"/>
          <w:numId w:val="48"/>
        </w:numPr>
        <w:rPr>
          <w:rFonts w:ascii="Calibri" w:hAnsi="Calibri" w:cs="Calibri"/>
        </w:rPr>
      </w:pPr>
      <w:r>
        <w:rPr>
          <w:rFonts w:ascii="Calibri" w:hAnsi="Calibri" w:cs="Calibri"/>
        </w:rPr>
        <w:t>Problemas de desempenho ou disponibilidade que resultam do seguinte:</w:t>
      </w:r>
    </w:p>
    <w:p w14:paraId="61ABEC06" w14:textId="77777777" w:rsidR="00237F16" w:rsidRPr="004C1229" w:rsidRDefault="00237F16" w:rsidP="00237F16">
      <w:pPr>
        <w:pStyle w:val="ProductList-Body"/>
        <w:numPr>
          <w:ilvl w:val="1"/>
          <w:numId w:val="48"/>
        </w:numPr>
        <w:rPr>
          <w:rFonts w:ascii="Calibri" w:hAnsi="Calibri" w:cs="Calibri"/>
        </w:rPr>
      </w:pPr>
      <w:r>
        <w:rPr>
          <w:rFonts w:ascii="Calibri" w:hAnsi="Calibri" w:cs="Calibri"/>
        </w:rPr>
        <w:t>tempo de convergência da rota se utilizar o protocolo BGP ou o Anycast;</w:t>
      </w:r>
    </w:p>
    <w:p w14:paraId="1B8A9DF7" w14:textId="77777777" w:rsidR="00237F16" w:rsidRPr="004C1229" w:rsidRDefault="00237F16" w:rsidP="00237F16">
      <w:pPr>
        <w:pStyle w:val="ProductList-Body"/>
        <w:numPr>
          <w:ilvl w:val="1"/>
          <w:numId w:val="48"/>
        </w:numPr>
        <w:rPr>
          <w:rFonts w:ascii="Calibri" w:hAnsi="Calibri" w:cs="Calibri"/>
        </w:rPr>
      </w:pPr>
      <w:r>
        <w:rPr>
          <w:rFonts w:ascii="Calibri" w:hAnsi="Calibri" w:cs="Calibri"/>
        </w:rPr>
        <w:t>eventos de dimensionamento e manutenção programada, incluindo o tempo de comutação durante eventos de alta disponibilidade.</w:t>
      </w:r>
    </w:p>
    <w:p w14:paraId="7673FE44" w14:textId="0D237DDC" w:rsidR="00237F16" w:rsidRPr="004C1229" w:rsidRDefault="00237F16" w:rsidP="00237F16">
      <w:pPr>
        <w:pStyle w:val="ProductList-Body"/>
        <w:rPr>
          <w:rFonts w:ascii="Calibri" w:hAnsi="Calibri" w:cs="Calibri"/>
        </w:rPr>
      </w:pPr>
      <w:r>
        <w:rPr>
          <w:rFonts w:ascii="Calibri" w:hAnsi="Calibri" w:cs="Calibri"/>
          <w:b/>
          <w:color w:val="00188F"/>
        </w:rPr>
        <w:t>Crédito de Serviço</w:t>
      </w:r>
      <w:r w:rsidRPr="00BD508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7F16" w:rsidRPr="00B44CF9" w14:paraId="3D01B61F" w14:textId="77777777" w:rsidTr="005B3710">
        <w:trPr>
          <w:tblHeader/>
        </w:trPr>
        <w:tc>
          <w:tcPr>
            <w:tcW w:w="5400" w:type="dxa"/>
            <w:shd w:val="clear" w:color="auto" w:fill="0072C6"/>
          </w:tcPr>
          <w:p w14:paraId="5AEE7B8D" w14:textId="77777777" w:rsidR="00237F16" w:rsidRPr="001B0267" w:rsidRDefault="00237F16" w:rsidP="005B371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0A06AC03" w14:textId="77777777" w:rsidR="00237F16" w:rsidRPr="001B0267" w:rsidRDefault="00237F16" w:rsidP="005B371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237F16" w:rsidRPr="00B44CF9" w14:paraId="7487755A" w14:textId="77777777" w:rsidTr="005B3710">
        <w:tc>
          <w:tcPr>
            <w:tcW w:w="5400" w:type="dxa"/>
          </w:tcPr>
          <w:p w14:paraId="05B4A499"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7E1B332E"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25%</w:t>
            </w:r>
          </w:p>
        </w:tc>
      </w:tr>
      <w:tr w:rsidR="00237F16" w:rsidRPr="00B44CF9" w14:paraId="60D7EA7B" w14:textId="77777777" w:rsidTr="005B3710">
        <w:trPr>
          <w:trHeight w:val="80"/>
        </w:trPr>
        <w:tc>
          <w:tcPr>
            <w:tcW w:w="5400" w:type="dxa"/>
          </w:tcPr>
          <w:p w14:paraId="0BADF177"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2B1507C5"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50%</w:t>
            </w:r>
          </w:p>
        </w:tc>
      </w:tr>
      <w:tr w:rsidR="00237F16" w:rsidRPr="00B44CF9" w14:paraId="008A5FD7" w14:textId="77777777" w:rsidTr="005B3710">
        <w:trPr>
          <w:trHeight w:val="80"/>
        </w:trPr>
        <w:tc>
          <w:tcPr>
            <w:tcW w:w="5400" w:type="dxa"/>
          </w:tcPr>
          <w:p w14:paraId="564B4953"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2148CA6C"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100%</w:t>
            </w:r>
          </w:p>
        </w:tc>
      </w:tr>
    </w:tbl>
    <w:p w14:paraId="7964656F" w14:textId="77777777" w:rsidR="00237F16" w:rsidRPr="00EF7CF9" w:rsidRDefault="00237F16" w:rsidP="00237F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15C719" w14:textId="4393EDF5" w:rsidR="00C02802" w:rsidRPr="00EF7CF9" w:rsidRDefault="00C02802" w:rsidP="00F01ED6">
      <w:pPr>
        <w:pStyle w:val="ProductList-Offering2Heading"/>
        <w:tabs>
          <w:tab w:val="clear" w:pos="360"/>
          <w:tab w:val="clear" w:pos="720"/>
          <w:tab w:val="clear" w:pos="1080"/>
        </w:tabs>
        <w:outlineLvl w:val="2"/>
      </w:pPr>
      <w:bookmarkStart w:id="276" w:name="_Toc214456823"/>
      <w:r>
        <w:t>HDInsight</w:t>
      </w:r>
      <w:bookmarkEnd w:id="273"/>
      <w:bookmarkEnd w:id="274"/>
      <w:bookmarkEnd w:id="276"/>
    </w:p>
    <w:p w14:paraId="2784026B" w14:textId="77777777" w:rsidR="00C02802" w:rsidRPr="00EF7CF9" w:rsidRDefault="00C02802" w:rsidP="00F01ED6">
      <w:pPr>
        <w:pStyle w:val="ProductList-Body"/>
        <w:rPr>
          <w:b/>
          <w:color w:val="00188F"/>
        </w:rPr>
      </w:pPr>
      <w:r>
        <w:rPr>
          <w:b/>
          <w:color w:val="00188F"/>
        </w:rPr>
        <w:t>Definições Adicionais</w:t>
      </w:r>
      <w:r w:rsidRPr="00473DD3">
        <w:rPr>
          <w:b/>
          <w:color w:val="00188F"/>
        </w:rPr>
        <w:t>:</w:t>
      </w:r>
    </w:p>
    <w:p w14:paraId="0E5D91C6" w14:textId="35AD99E4" w:rsidR="00C02802" w:rsidRPr="00E80B8A" w:rsidRDefault="00380305" w:rsidP="009F16F1">
      <w:pPr>
        <w:pStyle w:val="ProductList-Body"/>
        <w:jc w:val="both"/>
        <w:rPr>
          <w:spacing w:val="-3"/>
        </w:rPr>
      </w:pPr>
      <w:r>
        <w:rPr>
          <w:spacing w:val="-3"/>
        </w:rPr>
        <w:t>“</w:t>
      </w:r>
      <w:r w:rsidR="00C02802" w:rsidRPr="00E80B8A">
        <w:rPr>
          <w:b/>
          <w:color w:val="00188F"/>
          <w:spacing w:val="-3"/>
        </w:rPr>
        <w:t>Gateway de Internet de Cluster</w:t>
      </w:r>
      <w:r>
        <w:rPr>
          <w:spacing w:val="-3"/>
        </w:rPr>
        <w:t>”</w:t>
      </w:r>
      <w:r w:rsidR="00C02802" w:rsidRPr="00E80B8A">
        <w:rPr>
          <w:spacing w:val="-3"/>
        </w:rPr>
        <w:t xml:space="preserve"> designa um conjunto de máquinas virtuais num Cluster HDInsight que liga todos os pedidos de conectividade ao Cluster.</w:t>
      </w:r>
    </w:p>
    <w:p w14:paraId="36AE16AC" w14:textId="67D62750" w:rsidR="00C02802" w:rsidRPr="00EF7CF9" w:rsidRDefault="00380305" w:rsidP="009F16F1">
      <w:pPr>
        <w:pStyle w:val="ProductList-Body"/>
      </w:pPr>
      <w:r>
        <w:t>“</w:t>
      </w:r>
      <w:r w:rsidR="00C02802">
        <w:rPr>
          <w:b/>
          <w:color w:val="00188F"/>
        </w:rPr>
        <w:t>Minutos de Implementação</w:t>
      </w:r>
      <w:r>
        <w:t>”</w:t>
      </w:r>
      <w:r w:rsidR="00C02802">
        <w:t xml:space="preserve"> designa o número total de minutos durante os quais um determinado Cluster HDInsight esteve implementado no Microsoft Azure.</w:t>
      </w:r>
    </w:p>
    <w:p w14:paraId="4FA891BC" w14:textId="4630A068" w:rsidR="00C02802" w:rsidRPr="00EF7CF9" w:rsidRDefault="00380305" w:rsidP="009F16F1">
      <w:pPr>
        <w:pStyle w:val="ProductList-Body"/>
      </w:pPr>
      <w:r>
        <w:t>“</w:t>
      </w:r>
      <w:r w:rsidR="00C02802">
        <w:rPr>
          <w:b/>
          <w:color w:val="00188F"/>
        </w:rPr>
        <w:t>Cluster HDInsight</w:t>
      </w:r>
      <w:r>
        <w:t>”</w:t>
      </w:r>
      <w:r w:rsidR="00C02802">
        <w:t xml:space="preserve"> ou </w:t>
      </w:r>
      <w:r>
        <w:t>“</w:t>
      </w:r>
      <w:r w:rsidR="00C02802">
        <w:rPr>
          <w:b/>
          <w:color w:val="00188F"/>
        </w:rPr>
        <w:t>Cluster</w:t>
      </w:r>
      <w:r>
        <w:t>”</w:t>
      </w:r>
      <w:r w:rsidR="00C02802">
        <w:t xml:space="preserve"> designa uma coleção de máquinas virtuais a executar uma única instância do Serviço HDInsight.</w:t>
      </w:r>
    </w:p>
    <w:p w14:paraId="10EBBD8E" w14:textId="648E6212" w:rsidR="00C02802" w:rsidRPr="00EF7CF9" w:rsidRDefault="00380305" w:rsidP="009F16F1">
      <w:pPr>
        <w:pStyle w:val="ProductList-Body"/>
      </w:pPr>
      <w:r>
        <w:t>“</w:t>
      </w:r>
      <w:r w:rsidR="00C02802">
        <w:rPr>
          <w:b/>
          <w:color w:val="00188F"/>
        </w:rPr>
        <w:t>Máximo de Minutos Disponíveis</w:t>
      </w:r>
      <w:r>
        <w:t>”</w:t>
      </w:r>
      <w:r w:rsidR="00C02802">
        <w:t xml:space="preserve"> designa a soma de todos os Minutos de Implementação em todos os Clusters implementados pelo Cliente numa determinada subscrição do Microsoft Azure durante um Período Aplicável.</w:t>
      </w:r>
    </w:p>
    <w:p w14:paraId="3ED3A569" w14:textId="5ED7516C" w:rsidR="00C02802" w:rsidRPr="00EF7CF9" w:rsidRDefault="00C02802" w:rsidP="009F16F1">
      <w:pPr>
        <w:pStyle w:val="ProductList-Body"/>
      </w:pPr>
      <w:r>
        <w:rPr>
          <w:b/>
          <w:color w:val="00188F"/>
        </w:rPr>
        <w:t>Período de Indisponibilidade</w:t>
      </w:r>
      <w:r w:rsidRPr="00473DD3">
        <w:rPr>
          <w:b/>
          <w:color w:val="00188F"/>
        </w:rPr>
        <w:t>:</w:t>
      </w:r>
      <w:r>
        <w:t xml:space="preserve"> O total de Minutos de Implementação acumulados quando o Serviço HDInsight está indisponível. Um minuto é</w:t>
      </w:r>
      <w:r w:rsidR="00D2642C">
        <w:t> </w:t>
      </w:r>
      <w:r>
        <w:t>considerado indisponível para um determinado Cluster se falharem todas as tentativas contínuas nesse minuto para estabelecer uma ligação com</w:t>
      </w:r>
      <w:r w:rsidR="00D2642C">
        <w:t> </w:t>
      </w:r>
      <w:r>
        <w:t>o</w:t>
      </w:r>
      <w:r w:rsidR="002A42D2">
        <w:t> </w:t>
      </w:r>
      <w:r>
        <w:t>Gateway de Internet de Cluster.</w:t>
      </w:r>
    </w:p>
    <w:p w14:paraId="587D8928" w14:textId="5BA0AF4C" w:rsidR="00C0280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D099391" w14:textId="2A2DC884" w:rsidR="00C02802" w:rsidRPr="00EF7CF9" w:rsidRDefault="00000000" w:rsidP="009F16F1">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36ED468" w14:textId="77777777" w:rsidR="00C02802" w:rsidRPr="00EF7CF9" w:rsidRDefault="00C0280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909096" w14:textId="77777777" w:rsidR="00C02802" w:rsidRPr="00EF7CF9" w:rsidRDefault="00C02802" w:rsidP="00F01ED6">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277097">
        <w:tc>
          <w:tcPr>
            <w:tcW w:w="5400" w:type="dxa"/>
          </w:tcPr>
          <w:p w14:paraId="33AA9AD9" w14:textId="77777777" w:rsidR="00C02802" w:rsidRPr="00EF7CF9" w:rsidRDefault="00C02802" w:rsidP="00F01ED6">
            <w:pPr>
              <w:pStyle w:val="ProductList-OfferingBody"/>
              <w:jc w:val="center"/>
            </w:pPr>
            <w:r>
              <w:t>&lt; 99,9%</w:t>
            </w:r>
          </w:p>
        </w:tc>
        <w:tc>
          <w:tcPr>
            <w:tcW w:w="5400" w:type="dxa"/>
          </w:tcPr>
          <w:p w14:paraId="3303510C" w14:textId="77777777" w:rsidR="00C02802" w:rsidRPr="00EF7CF9" w:rsidRDefault="00C02802" w:rsidP="00F01ED6">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F01ED6">
            <w:pPr>
              <w:pStyle w:val="ProductList-OfferingBody"/>
              <w:jc w:val="center"/>
            </w:pPr>
            <w:r>
              <w:t>&lt; 99%</w:t>
            </w:r>
          </w:p>
        </w:tc>
        <w:tc>
          <w:tcPr>
            <w:tcW w:w="5400" w:type="dxa"/>
          </w:tcPr>
          <w:p w14:paraId="0A85BFFA" w14:textId="77777777" w:rsidR="00C02802" w:rsidRPr="00EF7CF9" w:rsidRDefault="00C02802" w:rsidP="00F01ED6">
            <w:pPr>
              <w:pStyle w:val="ProductList-OfferingBody"/>
              <w:jc w:val="center"/>
            </w:pPr>
            <w:r>
              <w:t>25%</w:t>
            </w:r>
          </w:p>
        </w:tc>
      </w:tr>
    </w:tbl>
    <w:p w14:paraId="0C9C19C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F374F59" w14:textId="5874C7EB" w:rsidR="00E92C40" w:rsidRDefault="00E92C40" w:rsidP="000331B9">
      <w:pPr>
        <w:pStyle w:val="ProductList-Offering2Heading"/>
        <w:keepNext/>
        <w:tabs>
          <w:tab w:val="clear" w:pos="360"/>
        </w:tabs>
        <w:outlineLvl w:val="2"/>
      </w:pPr>
      <w:bookmarkStart w:id="277" w:name="_Toc214456824"/>
      <w:r>
        <w:t>Azure Health Data Services (excluindo o Serviço MedTech)</w:t>
      </w:r>
      <w:bookmarkEnd w:id="277"/>
    </w:p>
    <w:p w14:paraId="17EBEAAB" w14:textId="77777777" w:rsidR="00E92C40" w:rsidRDefault="00E92C40" w:rsidP="00F01ED6">
      <w:pPr>
        <w:pStyle w:val="ProductList-Body"/>
      </w:pPr>
      <w:r>
        <w:rPr>
          <w:b/>
          <w:color w:val="00188F"/>
        </w:rPr>
        <w:t>Definições Adicionais</w:t>
      </w:r>
      <w:r w:rsidRPr="00473DD3">
        <w:rPr>
          <w:b/>
          <w:color w:val="00188F"/>
        </w:rPr>
        <w:t>:</w:t>
      </w:r>
    </w:p>
    <w:p w14:paraId="509653B9" w14:textId="2E3EA685" w:rsidR="00E92C40" w:rsidRDefault="00380305" w:rsidP="00F01ED6">
      <w:pPr>
        <w:pStyle w:val="ProductList-Body"/>
      </w:pPr>
      <w:r>
        <w:t>“</w:t>
      </w:r>
      <w:r w:rsidR="00E92C40">
        <w:rPr>
          <w:b/>
          <w:color w:val="00188F"/>
        </w:rPr>
        <w:t>Total de Tentativas de Transação</w:t>
      </w:r>
      <w:r>
        <w:t>”</w:t>
      </w:r>
      <w:r w:rsidR="00E92C40">
        <w:t xml:space="preserve"> é o número total de pedidos da API autenticados efetuados pelo Cliente durante um Período Aplicável para uma determinada API de Health Data Services (excluindo o serviço MedTech). O Total de Tentativas de Transação não inclui os pedidos de API que devolvem um Código de Erro e que são repetidos continuamente num intervalo de cinco minutos após a receção do primeiro Código de Erro.</w:t>
      </w:r>
    </w:p>
    <w:p w14:paraId="3216C37D" w14:textId="61AC506C" w:rsidR="00E92C40" w:rsidRDefault="00380305" w:rsidP="00F01ED6">
      <w:pPr>
        <w:pStyle w:val="ProductList-Body"/>
      </w:pPr>
      <w:r>
        <w:lastRenderedPageBreak/>
        <w:t>“</w:t>
      </w:r>
      <w:r w:rsidR="00E92C40">
        <w:rPr>
          <w:b/>
          <w:color w:val="00188F"/>
        </w:rPr>
        <w:t>Transações com Falha</w:t>
      </w:r>
      <w:r>
        <w:t>”</w:t>
      </w:r>
      <w:r w:rsidR="00E92C40">
        <w:t xml:space="preserve"> é o conjunto de todos os pedidos para as APIs de Health Data Services (excluindo o serviço MedTech) no Total de Tentativas de Transação que devolve um Código de Erro. As Tentativas de Transação com Falha não incluem os pedidos de API que devolvem um</w:t>
      </w:r>
      <w:r w:rsidR="00EB63E8">
        <w:t> </w:t>
      </w:r>
      <w:r w:rsidR="00E92C40">
        <w:t>Código de Erro e que são repetidos continuamente num intervalo de cinco minutos após a receção do primeiro Código de Erro.</w:t>
      </w:r>
    </w:p>
    <w:p w14:paraId="2E565FBD" w14:textId="77777777" w:rsidR="00E92C40" w:rsidRPr="00547CB7" w:rsidRDefault="00E92C40" w:rsidP="00F01ED6">
      <w:pPr>
        <w:pStyle w:val="ProductList-Body"/>
        <w:rPr>
          <w:sz w:val="12"/>
          <w:szCs w:val="12"/>
        </w:rPr>
      </w:pPr>
    </w:p>
    <w:p w14:paraId="42A39A85" w14:textId="654E196D" w:rsidR="00E92C40" w:rsidRDefault="00EE6E3C" w:rsidP="00F01ED6">
      <w:pPr>
        <w:pStyle w:val="ProductList-Body"/>
        <w:rPr>
          <w:b/>
          <w:color w:val="00188F"/>
        </w:rPr>
      </w:pPr>
      <w:r>
        <w:rPr>
          <w:b/>
          <w:color w:val="00188F"/>
        </w:rPr>
        <w:t>Cálculo do Período de Disponibilidade</w:t>
      </w:r>
    </w:p>
    <w:p w14:paraId="196BB763" w14:textId="53CECA0D" w:rsidR="00E92C40" w:rsidRDefault="00AC48A7" w:rsidP="00F01ED6">
      <w:pPr>
        <w:pStyle w:val="ProductList-Body"/>
      </w:pPr>
      <w:r>
        <w:rPr>
          <w:b/>
          <w:color w:val="00188F"/>
        </w:rPr>
        <w:t>Percentagem de Período de Disponibilidade</w:t>
      </w:r>
      <w:r w:rsidRPr="00473DD3">
        <w:rPr>
          <w:b/>
          <w:color w:val="00188F"/>
        </w:rPr>
        <w:t>:</w:t>
      </w:r>
      <w:r>
        <w:t xml:space="preserve"> para cada serviço de API (excluindo o serviço MedTech) é calculado como o Total de Tentativas de</w:t>
      </w:r>
      <w:r w:rsidR="00397761">
        <w:t> </w:t>
      </w:r>
      <w:r>
        <w:t>Transação menos as Transações com Falha dividido pelo Total de Tentativas de Transação. A Percentagem de Período de Disponibilidade é</w:t>
      </w:r>
      <w:r w:rsidR="00397761">
        <w:t> </w:t>
      </w:r>
      <w:r>
        <w:t>representada pela seguinte fórmula:</w:t>
      </w:r>
    </w:p>
    <w:p w14:paraId="546706FD" w14:textId="77777777" w:rsidR="00E92C40" w:rsidRPr="00547CB7" w:rsidRDefault="00E92C40" w:rsidP="00F01ED6">
      <w:pPr>
        <w:pStyle w:val="ProductList-Body"/>
        <w:rPr>
          <w:sz w:val="12"/>
          <w:szCs w:val="12"/>
        </w:rPr>
      </w:pPr>
    </w:p>
    <w:p w14:paraId="0F83F054" w14:textId="37EC1970" w:rsidR="00E92C40" w:rsidRDefault="00000000" w:rsidP="007C4E48">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53A786E1" w14:textId="77777777" w:rsidR="00E92C40" w:rsidRPr="00011653" w:rsidRDefault="00E92C40" w:rsidP="00F01ED6">
      <w:pPr>
        <w:pStyle w:val="ProductList-Body"/>
        <w:rPr>
          <w:b/>
          <w:color w:val="00188F"/>
        </w:rPr>
      </w:pPr>
      <w:r w:rsidRPr="00011653">
        <w:rPr>
          <w:b/>
          <w:color w:val="00188F"/>
        </w:rPr>
        <w:t>Os seguintes Níveis de Serviço e Créditos de Serviço são aplicáveis ao Azure Health Data Services (excluindo o serviço MedTech):</w:t>
      </w:r>
    </w:p>
    <w:p w14:paraId="3B350080" w14:textId="77777777" w:rsidR="00E92C40" w:rsidRDefault="00E92C40" w:rsidP="00517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517CFE">
            <w:pPr>
              <w:pStyle w:val="ProductList-OfferingBody"/>
              <w:keepNext/>
              <w:keepLines/>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517CFE">
            <w:pPr>
              <w:pStyle w:val="ProductList-OfferingBody"/>
              <w:keepNext/>
              <w:keepLines/>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F01ED6">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F01ED6">
            <w:pPr>
              <w:pStyle w:val="ProductList-OfferingBody"/>
              <w:jc w:val="center"/>
              <w:rPr>
                <w:kern w:val="2"/>
                <w14:ligatures w14:val="standardContextual"/>
              </w:rPr>
            </w:pPr>
            <w:r>
              <w:rPr>
                <w14:ligatures w14:val="standardContextual"/>
              </w:rPr>
              <w:t>25%</w:t>
            </w:r>
          </w:p>
        </w:tc>
      </w:tr>
    </w:tbl>
    <w:p w14:paraId="621E8B8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32B7AEC" w14:textId="0B9423B3" w:rsidR="008B23AE" w:rsidRPr="008B23AE" w:rsidRDefault="008B23AE" w:rsidP="00F01ED6">
      <w:pPr>
        <w:pStyle w:val="ProductList-Offering2Heading"/>
        <w:keepNext/>
        <w:tabs>
          <w:tab w:val="clear" w:pos="360"/>
          <w:tab w:val="clear" w:pos="720"/>
          <w:tab w:val="clear" w:pos="1080"/>
        </w:tabs>
        <w:outlineLvl w:val="2"/>
      </w:pPr>
      <w:bookmarkStart w:id="278" w:name="_Toc214456825"/>
      <w:r>
        <w:t>Health Bot</w:t>
      </w:r>
      <w:bookmarkEnd w:id="278"/>
    </w:p>
    <w:p w14:paraId="761783E0" w14:textId="77777777" w:rsidR="008B23AE" w:rsidRPr="008B23AE" w:rsidRDefault="008B23AE" w:rsidP="00F01ED6">
      <w:pPr>
        <w:pStyle w:val="ProductList-Body"/>
        <w:keepNext/>
        <w:rPr>
          <w:b/>
          <w:bCs/>
          <w:color w:val="00188F"/>
        </w:rPr>
      </w:pPr>
      <w:r>
        <w:rPr>
          <w:b/>
          <w:bCs/>
          <w:color w:val="00188F"/>
        </w:rPr>
        <w:t>Definições Adicionais</w:t>
      </w:r>
    </w:p>
    <w:p w14:paraId="7F2B27E6" w14:textId="7BB4BB45" w:rsidR="008B23AE" w:rsidRDefault="00380305" w:rsidP="00F01ED6">
      <w:pPr>
        <w:pStyle w:val="ProductList-Body"/>
      </w:pPr>
      <w:r>
        <w:t>“</w:t>
      </w:r>
      <w:r w:rsidR="008B23AE">
        <w:rPr>
          <w:b/>
          <w:bCs/>
          <w:color w:val="00188F"/>
        </w:rPr>
        <w:t>Canal Premium do Azure Health Bot</w:t>
      </w:r>
      <w:r>
        <w:t>”</w:t>
      </w:r>
      <w:r w:rsidR="008B23AE">
        <w:t xml:space="preserve"> designa um canal de Enquadramento de Bots na categoria premium. incluindo o Webchat e o Direct Line.</w:t>
      </w:r>
    </w:p>
    <w:p w14:paraId="55A4B3E0" w14:textId="7C7C6621" w:rsidR="008B23AE" w:rsidRDefault="00380305" w:rsidP="00F01ED6">
      <w:pPr>
        <w:pStyle w:val="ProductList-Body"/>
      </w:pPr>
      <w:r>
        <w:t>“</w:t>
      </w:r>
      <w:r w:rsidR="008B23AE">
        <w:rPr>
          <w:b/>
          <w:bCs/>
          <w:color w:val="00188F"/>
        </w:rPr>
        <w:t>Aplicação Cliente do Health Bot</w:t>
      </w:r>
      <w:r>
        <w:t>”</w:t>
      </w:r>
      <w:r w:rsidR="008B23AE">
        <w:t xml:space="preserve"> designa a aplicação de conversação virada para a internet do Health Bot do cliente, que está registada e</w:t>
      </w:r>
      <w:r w:rsidR="002F6051">
        <w:t> </w:t>
      </w:r>
      <w:r w:rsidR="008B23AE">
        <w:t>configurada para enviar e receber mensagens do Azure Health Bot Service.</w:t>
      </w:r>
    </w:p>
    <w:p w14:paraId="459B7380" w14:textId="32C1D06F" w:rsidR="008B23AE" w:rsidRDefault="00380305" w:rsidP="00F01ED6">
      <w:pPr>
        <w:pStyle w:val="ProductList-Body"/>
      </w:pPr>
      <w:r>
        <w:t>“</w:t>
      </w:r>
      <w:r w:rsidR="008B23AE">
        <w:rPr>
          <w:b/>
          <w:bCs/>
          <w:color w:val="00188F"/>
        </w:rPr>
        <w:t>Cliente do Health Bot</w:t>
      </w:r>
      <w:r>
        <w:t>”</w:t>
      </w:r>
      <w:r w:rsidR="008B23AE">
        <w:t xml:space="preserve"> é a parte destinada ao utilizador final de uma Aplicação Cliente do Health Bot.</w:t>
      </w:r>
    </w:p>
    <w:p w14:paraId="7098DA7D" w14:textId="6D1C2664" w:rsidR="008B23AE" w:rsidRDefault="00380305" w:rsidP="00F01ED6">
      <w:pPr>
        <w:pStyle w:val="ProductList-Body"/>
      </w:pPr>
      <w:r>
        <w:t>“</w:t>
      </w:r>
      <w:r w:rsidR="008B23AE">
        <w:rPr>
          <w:b/>
          <w:bCs/>
          <w:color w:val="00188F"/>
        </w:rPr>
        <w:t>Azure Health Bot</w:t>
      </w:r>
      <w:r>
        <w:t>”</w:t>
      </w:r>
      <w:r w:rsidR="008B23AE">
        <w:t xml:space="preserve"> designa uma plataforma para a criação, ligação, testes e implementação de assistentes virtuais inteligentes.</w:t>
      </w:r>
    </w:p>
    <w:p w14:paraId="0FD30F46" w14:textId="0C4A78F2" w:rsidR="008B23AE" w:rsidRDefault="00380305" w:rsidP="00F01ED6">
      <w:pPr>
        <w:pStyle w:val="ProductList-Body"/>
      </w:pPr>
      <w:r>
        <w:t>“</w:t>
      </w:r>
      <w:r w:rsidR="008B23AE">
        <w:rPr>
          <w:b/>
          <w:bCs/>
          <w:color w:val="00188F"/>
        </w:rPr>
        <w:t>Ponto Final da API de Canais do Azure Health Bot</w:t>
      </w:r>
      <w:r>
        <w:t>”</w:t>
      </w:r>
      <w:r w:rsidR="008B23AE">
        <w:t xml:space="preserve"> é um ponto final de API REST que o Cliente do Health Bot utiliza para a comunicação HTTP através dos Canais do Health Bot.</w:t>
      </w:r>
    </w:p>
    <w:p w14:paraId="51948353" w14:textId="3D5FA8B9" w:rsidR="008B23AE" w:rsidRDefault="00380305" w:rsidP="00F01ED6">
      <w:pPr>
        <w:pStyle w:val="ProductList-Body"/>
      </w:pPr>
      <w:r>
        <w:t>“</w:t>
      </w:r>
      <w:r w:rsidR="008B23AE">
        <w:rPr>
          <w:b/>
          <w:bCs/>
          <w:color w:val="00188F"/>
        </w:rPr>
        <w:t>Total de Pedidos de API</w:t>
      </w:r>
      <w:r>
        <w:t>”</w:t>
      </w:r>
      <w:r w:rsidR="008B23AE">
        <w:t xml:space="preserve"> designa o número total de pedidos de HTTP feitos pela Aplicação Cliente do Health Bot ou pelo Cliente do Health Bot para o Ponto Final da API de Canais do Azure Health Bot durante um Período Aplicável.</w:t>
      </w:r>
    </w:p>
    <w:p w14:paraId="26D47C0E" w14:textId="6394929D" w:rsidR="008B23AE" w:rsidRDefault="00380305" w:rsidP="00F01ED6">
      <w:pPr>
        <w:pStyle w:val="ProductList-Body"/>
      </w:pPr>
      <w:r>
        <w:t>“</w:t>
      </w:r>
      <w:r w:rsidR="008B23AE">
        <w:rPr>
          <w:b/>
          <w:bCs/>
          <w:color w:val="00188F"/>
        </w:rPr>
        <w:t>Pedidos de API com Falha</w:t>
      </w:r>
      <w:r>
        <w:t>”</w:t>
      </w:r>
      <w:r w:rsidR="008B23AE">
        <w:t xml:space="preserve"> designa o número total de pedidos no Total de Pedidos de API que devolvem um Código de Erro ou não respondem em 2 minutos.</w:t>
      </w:r>
    </w:p>
    <w:p w14:paraId="051FDBFA" w14:textId="4DA78F8B" w:rsidR="008B23AE" w:rsidRDefault="00380305" w:rsidP="00F01ED6">
      <w:pPr>
        <w:pStyle w:val="ProductList-Body"/>
      </w:pPr>
      <w:r>
        <w:t>“</w:t>
      </w:r>
      <w:r w:rsidR="008B23AE">
        <w:rPr>
          <w:b/>
          <w:bCs/>
          <w:color w:val="00188F"/>
        </w:rPr>
        <w:t>Percentagem de Período de Disponibilidade</w:t>
      </w:r>
      <w:r>
        <w:t>”</w:t>
      </w:r>
      <w:r w:rsidR="008B23AE">
        <w:t xml:space="preserve"> é calculada como o Total de Pedidos de API menos os Pedidos de API com Falha a dividir pelo Total de Pedidos de API multiplicado por 100.</w:t>
      </w:r>
    </w:p>
    <w:p w14:paraId="5CBB5BBD" w14:textId="677D4BEA" w:rsidR="008B23AE" w:rsidRDefault="00AC48A7" w:rsidP="00F01ED6">
      <w:pPr>
        <w:pStyle w:val="ProductList-Body"/>
      </w:pPr>
      <w:r>
        <w:rPr>
          <w:b/>
          <w:bCs/>
          <w:color w:val="00188F"/>
        </w:rPr>
        <w:t>Percentagem de Período de Disponibilidade:</w:t>
      </w:r>
      <w:r>
        <w:rPr>
          <w:color w:val="00188F"/>
        </w:rPr>
        <w:t xml:space="preserve"> </w:t>
      </w:r>
      <w:r>
        <w:t>A Percentagem de Período de Disponibilidade é calculada através da seguinte fórmula:</w:t>
      </w:r>
    </w:p>
    <w:p w14:paraId="0AA53576" w14:textId="77777777" w:rsidR="00766665" w:rsidRPr="00547CB7" w:rsidRDefault="00766665" w:rsidP="00F01ED6">
      <w:pPr>
        <w:pStyle w:val="ProductList-Body"/>
        <w:rPr>
          <w:sz w:val="12"/>
          <w:szCs w:val="12"/>
        </w:rPr>
      </w:pPr>
    </w:p>
    <w:p w14:paraId="7F009D58" w14:textId="1B0CF482" w:rsidR="00766665" w:rsidRPr="00EF7CF9" w:rsidRDefault="00000000" w:rsidP="007C4E4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F01ED6">
      <w:pPr>
        <w:pStyle w:val="ProductList-Body"/>
        <w:rPr>
          <w:b/>
          <w:bCs/>
          <w:color w:val="00188F"/>
        </w:rPr>
      </w:pPr>
      <w:r>
        <w:rPr>
          <w:b/>
          <w:bCs/>
          <w:color w:val="00188F"/>
        </w:rPr>
        <w:t>Os seguintes Níveis de Serviço e Créditos de Serviço são aplicáveis à utilização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D72F0BE" w14:textId="77777777" w:rsidR="009A72F9" w:rsidRPr="00EF7CF9" w:rsidRDefault="009A72F9" w:rsidP="00F01ED6">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277097">
        <w:tc>
          <w:tcPr>
            <w:tcW w:w="5400" w:type="dxa"/>
          </w:tcPr>
          <w:p w14:paraId="55526F63" w14:textId="77777777" w:rsidR="009A72F9" w:rsidRPr="00EF7CF9" w:rsidRDefault="009A72F9" w:rsidP="00F01ED6">
            <w:pPr>
              <w:pStyle w:val="ProductList-OfferingBody"/>
              <w:jc w:val="center"/>
            </w:pPr>
            <w:r>
              <w:t>&lt; 99,9%</w:t>
            </w:r>
          </w:p>
        </w:tc>
        <w:tc>
          <w:tcPr>
            <w:tcW w:w="5400" w:type="dxa"/>
          </w:tcPr>
          <w:p w14:paraId="568815FC" w14:textId="77777777" w:rsidR="009A72F9" w:rsidRPr="00EF7CF9" w:rsidRDefault="009A72F9" w:rsidP="00F01ED6">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F01ED6">
            <w:pPr>
              <w:pStyle w:val="ProductList-OfferingBody"/>
              <w:jc w:val="center"/>
            </w:pPr>
            <w:r>
              <w:t>&lt; 99%</w:t>
            </w:r>
          </w:p>
        </w:tc>
        <w:tc>
          <w:tcPr>
            <w:tcW w:w="5400" w:type="dxa"/>
          </w:tcPr>
          <w:p w14:paraId="0D206D89" w14:textId="77777777" w:rsidR="009A72F9" w:rsidRPr="00EF7CF9" w:rsidRDefault="009A72F9" w:rsidP="00F01ED6">
            <w:pPr>
              <w:pStyle w:val="ProductList-OfferingBody"/>
              <w:jc w:val="center"/>
            </w:pPr>
            <w:r>
              <w:t>25%</w:t>
            </w:r>
          </w:p>
        </w:tc>
      </w:tr>
    </w:tbl>
    <w:bookmarkStart w:id="279" w:name="_Toc457821532"/>
    <w:bookmarkStart w:id="280" w:name="_Toc52349006"/>
    <w:bookmarkStart w:id="281" w:name="AzureRightsManagementPremium"/>
    <w:p w14:paraId="0756A1D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93FBDBF" w14:textId="77777777" w:rsidR="003C3496" w:rsidRPr="00EF7CF9" w:rsidRDefault="003C3496" w:rsidP="00F01ED6">
      <w:pPr>
        <w:pStyle w:val="ProductList-Offering2Heading"/>
        <w:keepNext/>
        <w:tabs>
          <w:tab w:val="clear" w:pos="360"/>
          <w:tab w:val="clear" w:pos="720"/>
          <w:tab w:val="clear" w:pos="1080"/>
        </w:tabs>
        <w:outlineLvl w:val="2"/>
      </w:pPr>
      <w:bookmarkStart w:id="282" w:name="_Toc214456826"/>
      <w:r>
        <w:t>Proteção de Informação do Azure</w:t>
      </w:r>
      <w:bookmarkEnd w:id="279"/>
      <w:bookmarkEnd w:id="280"/>
      <w:bookmarkEnd w:id="282"/>
    </w:p>
    <w:bookmarkEnd w:id="281"/>
    <w:p w14:paraId="1D5F3E5D" w14:textId="36CE836E" w:rsidR="003C3496" w:rsidRPr="00EF7CF9" w:rsidRDefault="003C3496"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criar ou consumir documentos e</w:t>
      </w:r>
      <w:r w:rsidR="00EB4506">
        <w:rPr>
          <w:szCs w:val="18"/>
        </w:rPr>
        <w:t> </w:t>
      </w:r>
      <w:r>
        <w:rPr>
          <w:szCs w:val="18"/>
        </w:rPr>
        <w:t>mensagens de e-mail de IRM.</w:t>
      </w:r>
    </w:p>
    <w:p w14:paraId="0D5DE02B" w14:textId="5DF68E16" w:rsidR="003C349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3E2F56A" w14:textId="51E42AEE" w:rsidR="003C3496" w:rsidRPr="00EF7CF9" w:rsidRDefault="00000000" w:rsidP="009F16F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4EDA320" w14:textId="1646DCCB" w:rsidR="003C349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76B2706" w14:textId="77777777" w:rsidR="003C3496" w:rsidRPr="00EF7CF9" w:rsidRDefault="003C349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0D544037" w14:textId="77777777" w:rsidR="003C3496" w:rsidRPr="00EF7CF9" w:rsidRDefault="003C3496" w:rsidP="00F01ED6">
            <w:pPr>
              <w:pStyle w:val="ProductList-OfferingBody"/>
              <w:jc w:val="center"/>
              <w:rPr>
                <w:color w:val="FFFFFF" w:themeColor="background1"/>
              </w:rPr>
            </w:pPr>
            <w:r>
              <w:rPr>
                <w:color w:val="FFFFFF" w:themeColor="background1"/>
              </w:rPr>
              <w:t>Crédito de Serviço</w:t>
            </w:r>
          </w:p>
        </w:tc>
      </w:tr>
      <w:tr w:rsidR="003C3496" w:rsidRPr="00B44CF9" w14:paraId="0B43A41B" w14:textId="77777777" w:rsidTr="00277097">
        <w:tc>
          <w:tcPr>
            <w:tcW w:w="5400" w:type="dxa"/>
          </w:tcPr>
          <w:p w14:paraId="75C11FE0" w14:textId="77777777" w:rsidR="003C3496" w:rsidRPr="00EF7CF9" w:rsidRDefault="003C3496" w:rsidP="00F01ED6">
            <w:pPr>
              <w:pStyle w:val="ProductList-OfferingBody"/>
              <w:jc w:val="center"/>
            </w:pPr>
            <w:r>
              <w:t>&lt; 99,9%</w:t>
            </w:r>
          </w:p>
        </w:tc>
        <w:tc>
          <w:tcPr>
            <w:tcW w:w="5400" w:type="dxa"/>
          </w:tcPr>
          <w:p w14:paraId="0CF0C1B3" w14:textId="77777777" w:rsidR="003C3496" w:rsidRPr="00EF7CF9" w:rsidRDefault="003C3496" w:rsidP="00F01ED6">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F01ED6">
            <w:pPr>
              <w:pStyle w:val="ProductList-OfferingBody"/>
              <w:jc w:val="center"/>
            </w:pPr>
            <w:r>
              <w:t>&lt; 99%</w:t>
            </w:r>
          </w:p>
        </w:tc>
        <w:tc>
          <w:tcPr>
            <w:tcW w:w="5400" w:type="dxa"/>
          </w:tcPr>
          <w:p w14:paraId="1218794A" w14:textId="77777777" w:rsidR="003C3496" w:rsidRPr="00EF7CF9" w:rsidRDefault="003C3496" w:rsidP="00F01ED6">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F01ED6">
            <w:pPr>
              <w:pStyle w:val="ProductList-OfferingBody"/>
              <w:jc w:val="center"/>
            </w:pPr>
            <w:r>
              <w:t>&lt; 95%</w:t>
            </w:r>
          </w:p>
        </w:tc>
        <w:tc>
          <w:tcPr>
            <w:tcW w:w="5400" w:type="dxa"/>
          </w:tcPr>
          <w:p w14:paraId="1CED26AF" w14:textId="77777777" w:rsidR="003C3496" w:rsidRPr="00EF7CF9" w:rsidRDefault="003C3496" w:rsidP="00F01ED6">
            <w:pPr>
              <w:pStyle w:val="ProductList-OfferingBody"/>
              <w:jc w:val="center"/>
            </w:pPr>
            <w:r>
              <w:t>100%</w:t>
            </w:r>
          </w:p>
        </w:tc>
      </w:tr>
    </w:tbl>
    <w:bookmarkStart w:id="283" w:name="_Toc526859685"/>
    <w:bookmarkStart w:id="284" w:name="_Toc52348959"/>
    <w:p w14:paraId="4D390FA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6D2BC5" w14:textId="77777777" w:rsidR="007B07AE" w:rsidRPr="00EF7CF9" w:rsidRDefault="007B07AE" w:rsidP="00174388">
      <w:pPr>
        <w:pStyle w:val="ProductList-Offering2Heading"/>
        <w:keepNext/>
        <w:keepLines/>
        <w:tabs>
          <w:tab w:val="clear" w:pos="360"/>
          <w:tab w:val="clear" w:pos="720"/>
          <w:tab w:val="clear" w:pos="1080"/>
        </w:tabs>
        <w:outlineLvl w:val="2"/>
      </w:pPr>
      <w:bookmarkStart w:id="285" w:name="_Toc214456827"/>
      <w:r>
        <w:t>Azure IoT Central</w:t>
      </w:r>
      <w:bookmarkEnd w:id="283"/>
      <w:bookmarkEnd w:id="284"/>
      <w:bookmarkEnd w:id="285"/>
    </w:p>
    <w:p w14:paraId="5E34EF0B" w14:textId="77777777" w:rsidR="007B07AE" w:rsidRPr="00EF7CF9" w:rsidRDefault="007B07AE" w:rsidP="00174388">
      <w:pPr>
        <w:pStyle w:val="ProductList-Body"/>
        <w:keepNext/>
        <w:keepLines/>
        <w:rPr>
          <w:b/>
          <w:color w:val="00188F"/>
        </w:rPr>
      </w:pPr>
      <w:r>
        <w:rPr>
          <w:b/>
          <w:color w:val="00188F"/>
        </w:rPr>
        <w:t>Definições Adicionais</w:t>
      </w:r>
      <w:r w:rsidRPr="00473DD3">
        <w:rPr>
          <w:b/>
          <w:color w:val="00188F"/>
        </w:rPr>
        <w:t>:</w:t>
      </w:r>
    </w:p>
    <w:p w14:paraId="2FC367F7" w14:textId="56B4F6B4" w:rsidR="007B07AE" w:rsidRPr="00EF7CF9" w:rsidRDefault="00380305" w:rsidP="009F16F1">
      <w:pPr>
        <w:pStyle w:val="ProductList-Body"/>
      </w:pPr>
      <w:r>
        <w:t>“</w:t>
      </w:r>
      <w:r w:rsidR="007B07AE">
        <w:rPr>
          <w:b/>
          <w:color w:val="00188F"/>
        </w:rPr>
        <w:t>Minutos de Implementação</w:t>
      </w:r>
      <w:r>
        <w:t>”</w:t>
      </w:r>
      <w:r w:rsidR="007B07AE">
        <w:t xml:space="preserve"> designa o número total de minutos que uma determinada aplicação IoT Central foi implementada numa determinada Subscrição do Microsoft Azure, durante um Período Aplicável.</w:t>
      </w:r>
    </w:p>
    <w:p w14:paraId="767848F1" w14:textId="773AD5A8" w:rsidR="007B07AE" w:rsidRPr="00EF7CF9" w:rsidRDefault="00380305" w:rsidP="009F16F1">
      <w:pPr>
        <w:pStyle w:val="ProductList-Body"/>
      </w:pPr>
      <w:r>
        <w:t>“</w:t>
      </w:r>
      <w:r w:rsidR="007B07AE">
        <w:rPr>
          <w:b/>
          <w:color w:val="00188F"/>
        </w:rPr>
        <w:t>Operações de Identidade do Dispositivo</w:t>
      </w:r>
      <w:r>
        <w:t>”</w:t>
      </w:r>
      <w:r w:rsidR="007B07AE">
        <w:t xml:space="preserve"> designa as operações de criação, leitura, atualização e eliminação executadas nos dispositivos de uma aplicação do IoT Central.</w:t>
      </w:r>
    </w:p>
    <w:p w14:paraId="7F933A10" w14:textId="499A83BE" w:rsidR="007B07AE" w:rsidRPr="00EF7CF9" w:rsidRDefault="00380305" w:rsidP="009F16F1">
      <w:pPr>
        <w:pStyle w:val="ProductList-Body"/>
      </w:pPr>
      <w:r>
        <w:t>“</w:t>
      </w:r>
      <w:r w:rsidR="007B07AE">
        <w:rPr>
          <w:b/>
          <w:color w:val="00188F"/>
        </w:rPr>
        <w:t>Máximo de Minutos Disponíveis:</w:t>
      </w:r>
      <w:r>
        <w:t>”</w:t>
      </w:r>
      <w:r w:rsidR="007B07AE">
        <w:t xml:space="preserve"> designa a soma de todos os Minutos de Implementação em todas as aplicações de IoT Central implementadas, numa determinada subscrição do Microsoft Azure durante um Período Aplicável.</w:t>
      </w:r>
    </w:p>
    <w:p w14:paraId="4E276309" w14:textId="572263DD" w:rsidR="007B07AE" w:rsidRPr="00EF7CF9" w:rsidRDefault="00380305" w:rsidP="009F16F1">
      <w:pPr>
        <w:pStyle w:val="ProductList-Body"/>
      </w:pPr>
      <w:r>
        <w:t>“</w:t>
      </w:r>
      <w:r w:rsidR="007B07AE">
        <w:rPr>
          <w:b/>
          <w:color w:val="00188F"/>
        </w:rPr>
        <w:t>Mensagem</w:t>
      </w:r>
      <w:r>
        <w:t>”</w:t>
      </w:r>
      <w:r w:rsidR="007B07AE">
        <w:t xml:space="preserve"> designa qualquer conteúdo enviado por uma aplicação do IoT Central implementada para um dispositivo registado na aplicação do IoT Central ou recebido pela aplicação do IoT Central da parte de um dispositivo registado. </w:t>
      </w:r>
    </w:p>
    <w:p w14:paraId="5867CA80" w14:textId="1A0E2F96" w:rsidR="007B07AE" w:rsidRPr="00EF7CF9" w:rsidRDefault="007B07AE" w:rsidP="009F16F1">
      <w:pPr>
        <w:pStyle w:val="ProductList-Body"/>
      </w:pPr>
      <w:r>
        <w:rPr>
          <w:b/>
          <w:color w:val="00188F"/>
        </w:rPr>
        <w:t>Período de Indisponibilidade</w:t>
      </w:r>
      <w:r w:rsidRPr="00473DD3">
        <w:rPr>
          <w:b/>
          <w:color w:val="00188F"/>
        </w:rPr>
        <w:t>:</w:t>
      </w:r>
      <w:r>
        <w:t xml:space="preserve"> O total acumulado de Máximo de Minutos Disponíveis durante o qual o IoT Central está indisponível. Um minuto é</w:t>
      </w:r>
      <w:r w:rsidR="009B1D48">
        <w:t> </w:t>
      </w:r>
      <w:r>
        <w:t>considerado indisponível para um determinado IoT Central se todas as tentativas contínuas para enviar ou receber Mensagens ou executar Operações de Identidade do Dispositivo no IoT Central durante esse minuto devolverem um Código de Erro ou não resultarem num Código de Êxito no prazo de cinco minutos.</w:t>
      </w:r>
    </w:p>
    <w:p w14:paraId="75B7A6D8" w14:textId="59690245" w:rsidR="007B07AE" w:rsidRPr="00EF7CF9" w:rsidRDefault="00AC48A7" w:rsidP="009F16F1">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2F9185F" w14:textId="41F09970" w:rsidR="007B07AE" w:rsidRPr="00EF7CF9" w:rsidRDefault="00000000" w:rsidP="009F16F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928BF49" w14:textId="77777777" w:rsidR="007B07AE" w:rsidRPr="00EF7CF9" w:rsidRDefault="007B07A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913DF97" w14:textId="77777777" w:rsidR="007B07AE" w:rsidRPr="005A3C16" w:rsidRDefault="007B07AE" w:rsidP="00F01ED6">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277097">
        <w:tc>
          <w:tcPr>
            <w:tcW w:w="5400" w:type="dxa"/>
          </w:tcPr>
          <w:p w14:paraId="17E84CE6" w14:textId="77777777" w:rsidR="007B07AE" w:rsidRPr="005A3C16" w:rsidRDefault="007B07AE" w:rsidP="00F01ED6">
            <w:pPr>
              <w:pStyle w:val="ProductList-OfferingBody"/>
              <w:jc w:val="center"/>
            </w:pPr>
            <w:r>
              <w:t>&lt; 99,9%</w:t>
            </w:r>
          </w:p>
        </w:tc>
        <w:tc>
          <w:tcPr>
            <w:tcW w:w="5400" w:type="dxa"/>
          </w:tcPr>
          <w:p w14:paraId="45DADE55" w14:textId="77777777" w:rsidR="007B07AE" w:rsidRPr="005A3C16" w:rsidRDefault="007B07AE" w:rsidP="00F01ED6">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F01ED6">
            <w:pPr>
              <w:pStyle w:val="ProductList-OfferingBody"/>
              <w:jc w:val="center"/>
            </w:pPr>
            <w:r>
              <w:t>&lt; 99%</w:t>
            </w:r>
          </w:p>
        </w:tc>
        <w:tc>
          <w:tcPr>
            <w:tcW w:w="5400" w:type="dxa"/>
          </w:tcPr>
          <w:p w14:paraId="0C3ECDD2" w14:textId="77777777" w:rsidR="007B07AE" w:rsidRPr="005A3C16" w:rsidRDefault="007B07AE" w:rsidP="00F01ED6">
            <w:pPr>
              <w:pStyle w:val="ProductList-OfferingBody"/>
              <w:jc w:val="center"/>
            </w:pPr>
            <w:r>
              <w:t>25%</w:t>
            </w:r>
          </w:p>
        </w:tc>
      </w:tr>
    </w:tbl>
    <w:bookmarkStart w:id="286" w:name="_Toc457821553"/>
    <w:bookmarkStart w:id="287" w:name="_Toc52348960"/>
    <w:bookmarkStart w:id="288" w:name="IoTHub"/>
    <w:p w14:paraId="1AD55E7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B306458" w14:textId="2A8DFFC7" w:rsidR="00A33D05" w:rsidRPr="00EF7CF9" w:rsidRDefault="00A33D05" w:rsidP="00F01ED6">
      <w:pPr>
        <w:pStyle w:val="ProductList-Offering2Heading"/>
        <w:tabs>
          <w:tab w:val="clear" w:pos="360"/>
          <w:tab w:val="clear" w:pos="720"/>
          <w:tab w:val="clear" w:pos="1080"/>
        </w:tabs>
        <w:outlineLvl w:val="2"/>
      </w:pPr>
      <w:bookmarkStart w:id="289" w:name="_Toc214456828"/>
      <w:r>
        <w:t>Hub IoT do Azure</w:t>
      </w:r>
      <w:bookmarkEnd w:id="286"/>
      <w:bookmarkEnd w:id="287"/>
      <w:bookmarkEnd w:id="289"/>
    </w:p>
    <w:bookmarkEnd w:id="288"/>
    <w:p w14:paraId="0A867471" w14:textId="1FB08987" w:rsidR="00A33D05" w:rsidRDefault="00EE6E3C" w:rsidP="00F01ED6">
      <w:pPr>
        <w:pStyle w:val="ProductList-Body"/>
        <w:rPr>
          <w:b/>
          <w:color w:val="00188F"/>
        </w:rPr>
      </w:pPr>
      <w:r>
        <w:rPr>
          <w:b/>
          <w:color w:val="00188F"/>
        </w:rPr>
        <w:t>Cálculo do Período de Disponibilidade e Níveis de Serviço para Hubs de IoT</w:t>
      </w:r>
    </w:p>
    <w:p w14:paraId="632DB8E3" w14:textId="77777777" w:rsidR="00A33D05" w:rsidRPr="00EF7CF9" w:rsidRDefault="00A33D05" w:rsidP="00F01ED6">
      <w:pPr>
        <w:pStyle w:val="ProductList-Body"/>
        <w:rPr>
          <w:b/>
          <w:color w:val="00188F"/>
        </w:rPr>
      </w:pPr>
      <w:r>
        <w:rPr>
          <w:b/>
          <w:color w:val="00188F"/>
        </w:rPr>
        <w:t>Definições Adicionais</w:t>
      </w:r>
      <w:r w:rsidRPr="00473DD3">
        <w:rPr>
          <w:b/>
          <w:color w:val="00188F"/>
        </w:rPr>
        <w:t>:</w:t>
      </w:r>
    </w:p>
    <w:p w14:paraId="6C1AD240" w14:textId="111F7539" w:rsidR="00A33D05" w:rsidRPr="00EF7CF9" w:rsidRDefault="00380305" w:rsidP="00F01ED6">
      <w:pPr>
        <w:pStyle w:val="ProductList-Body"/>
        <w:spacing w:after="40"/>
      </w:pPr>
      <w:r>
        <w:t>“</w:t>
      </w:r>
      <w:r w:rsidR="00A33D05">
        <w:rPr>
          <w:b/>
          <w:color w:val="00188F"/>
        </w:rPr>
        <w:t>Minutos de Implementação</w:t>
      </w:r>
      <w:r>
        <w:t>”</w:t>
      </w:r>
      <w:r w:rsidR="00A33D05">
        <w:t xml:space="preserve"> designa o número total de minutos durante os quais um determinado Hub de IoT foi implementado no Microsoft Azure durante um Período Aplicável.</w:t>
      </w:r>
    </w:p>
    <w:p w14:paraId="5C00CFC5" w14:textId="2A5AFF51" w:rsidR="00A33D05" w:rsidRPr="00EF7CF9" w:rsidRDefault="00380305" w:rsidP="00F01ED6">
      <w:pPr>
        <w:pStyle w:val="ProductList-Body"/>
        <w:spacing w:after="40"/>
      </w:pPr>
      <w:r>
        <w:t>“</w:t>
      </w:r>
      <w:r w:rsidR="00A33D05">
        <w:rPr>
          <w:b/>
          <w:color w:val="00188F"/>
        </w:rPr>
        <w:t>Operações de Identidade do Dispositivo</w:t>
      </w:r>
      <w:r>
        <w:t>”</w:t>
      </w:r>
      <w:r w:rsidR="00A33D05">
        <w:t xml:space="preserve"> designa a criação, a leitura, a atualização e a eliminação das operações executadas no registo de</w:t>
      </w:r>
      <w:r w:rsidR="009F6821">
        <w:t> </w:t>
      </w:r>
      <w:r w:rsidR="00A33D05">
        <w:t>identidade do dispositivo de um Hub de IoT.</w:t>
      </w:r>
    </w:p>
    <w:p w14:paraId="262F8F69" w14:textId="77A9CF9F" w:rsidR="00A33D05" w:rsidRPr="00EF7CF9" w:rsidRDefault="00380305" w:rsidP="00F01ED6">
      <w:pPr>
        <w:pStyle w:val="ProductList-Body"/>
      </w:pPr>
      <w:r>
        <w:t>“</w:t>
      </w:r>
      <w:r w:rsidR="00A33D05">
        <w:rPr>
          <w:b/>
          <w:color w:val="00188F"/>
        </w:rPr>
        <w:t>Máximo de Minutos Disponíveis</w:t>
      </w:r>
      <w:r>
        <w:t>”</w:t>
      </w:r>
      <w:r w:rsidR="00A33D05">
        <w:t xml:space="preserve"> designa a soma de todos os Minutos de Implementação em todos os Hubs de IoT implementados pelo Cliente numa determinada subscrição do Microsoft Azure durante um Período Aplicável.</w:t>
      </w:r>
    </w:p>
    <w:p w14:paraId="099D76A1" w14:textId="5D8B4BD1" w:rsidR="00A33D05" w:rsidRPr="00EF7CF9" w:rsidRDefault="00380305" w:rsidP="00F01ED6">
      <w:pPr>
        <w:pStyle w:val="ProductList-Body"/>
      </w:pPr>
      <w:r>
        <w:t>“</w:t>
      </w:r>
      <w:r w:rsidR="00A33D05">
        <w:rPr>
          <w:b/>
          <w:color w:val="00188F"/>
        </w:rPr>
        <w:t>Mensagem</w:t>
      </w:r>
      <w:r>
        <w:t>”</w:t>
      </w:r>
      <w:r w:rsidR="00A33D05">
        <w:t xml:space="preserve"> designa qualquer conteúdo enviado por um Hub de IoT implementado para um dispositivo registado no Hub de IoT ou recebido pelo</w:t>
      </w:r>
      <w:r w:rsidR="00C22FFB">
        <w:t> </w:t>
      </w:r>
      <w:r w:rsidR="00A33D05">
        <w:t xml:space="preserve">Hub de IoT da parte de um dispositivo registado e que utilize qualquer protocolo suportado pelo Serviço. </w:t>
      </w:r>
    </w:p>
    <w:p w14:paraId="78DCBCE7" w14:textId="3A1C7A7C" w:rsidR="00A33D05" w:rsidRPr="00EF7CF9" w:rsidRDefault="00A33D05" w:rsidP="00F01ED6">
      <w:pPr>
        <w:pStyle w:val="ProductList-Body"/>
      </w:pPr>
      <w:r>
        <w:rPr>
          <w:b/>
          <w:color w:val="00188F"/>
        </w:rPr>
        <w:t>Período de Indisponibilidade</w:t>
      </w:r>
      <w:r w:rsidRPr="00473DD3">
        <w:rPr>
          <w:b/>
          <w:color w:val="00188F"/>
        </w:rPr>
        <w:t>:</w:t>
      </w:r>
      <w:r>
        <w:t xml:space="preserve"> O total acumulado de Minutos de Implementação, em todos os Hubs de IoT implementados numa determinada subscrição do Microsoft Azure, durante os quais o Hub de IoT está indisponível. Um minuto é considerado indisponível para um determinado Hub</w:t>
      </w:r>
      <w:r w:rsidR="00B63A53">
        <w:t> </w:t>
      </w:r>
      <w:r>
        <w:t>de IoT se todas as tentativas contínuas para enviar ou receber Mensagens ou executar Operações de Identidade do Dispositivo no Hub de</w:t>
      </w:r>
      <w:r w:rsidR="00B63A53">
        <w:t> </w:t>
      </w:r>
      <w:r>
        <w:t>IoT</w:t>
      </w:r>
      <w:r w:rsidR="00B63A53">
        <w:t> </w:t>
      </w:r>
      <w:r>
        <w:t>durante esse minuto devolverem um Código de Erro ou não resultarem num Código de Êxito no prazo de cinco minutos.</w:t>
      </w:r>
    </w:p>
    <w:p w14:paraId="4747CF85" w14:textId="3DB7A133" w:rsidR="00A33D0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8F106D9" w14:textId="77777777" w:rsidR="00A33D05" w:rsidRPr="00EF7CF9" w:rsidRDefault="00A33D05" w:rsidP="00F01ED6">
      <w:pPr>
        <w:pStyle w:val="ProductList-Body"/>
      </w:pPr>
    </w:p>
    <w:p w14:paraId="41A06B07" w14:textId="3BF0F358" w:rsidR="00A33D0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236CE39" w14:textId="77777777" w:rsidR="00A33D05" w:rsidRPr="00EF7CF9" w:rsidRDefault="00A33D05" w:rsidP="00F01ED6">
      <w:pPr>
        <w:pStyle w:val="ProductList-Body"/>
      </w:pPr>
      <w:r>
        <w:rPr>
          <w:b/>
          <w:color w:val="00188F"/>
        </w:rPr>
        <w:t>Os seguintes Níveis de Serviço e Créditos de Serviço são aplicáveis à utilização que o Cliente faz do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21AFEB"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306810C" w14:textId="77777777" w:rsidTr="00277097">
        <w:tc>
          <w:tcPr>
            <w:tcW w:w="5400" w:type="dxa"/>
          </w:tcPr>
          <w:p w14:paraId="53D9273F" w14:textId="77777777" w:rsidR="00A33D05" w:rsidRPr="00EF7CF9" w:rsidRDefault="00A33D05" w:rsidP="00F01ED6">
            <w:pPr>
              <w:pStyle w:val="ProductList-OfferingBody"/>
              <w:jc w:val="center"/>
            </w:pPr>
            <w:r>
              <w:t>&lt; 99,9%</w:t>
            </w:r>
          </w:p>
        </w:tc>
        <w:tc>
          <w:tcPr>
            <w:tcW w:w="5400" w:type="dxa"/>
          </w:tcPr>
          <w:p w14:paraId="4CC37FB1" w14:textId="77777777" w:rsidR="00A33D05" w:rsidRPr="00EF7CF9" w:rsidRDefault="00A33D05" w:rsidP="00F01ED6">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F01ED6">
            <w:pPr>
              <w:pStyle w:val="ProductList-OfferingBody"/>
              <w:jc w:val="center"/>
            </w:pPr>
            <w:r>
              <w:t>&lt; 99%</w:t>
            </w:r>
          </w:p>
        </w:tc>
        <w:tc>
          <w:tcPr>
            <w:tcW w:w="5400" w:type="dxa"/>
          </w:tcPr>
          <w:p w14:paraId="00EB8335" w14:textId="77777777" w:rsidR="00A33D05" w:rsidRPr="00EF7CF9" w:rsidRDefault="00A33D05" w:rsidP="00F01ED6">
            <w:pPr>
              <w:pStyle w:val="ProductList-OfferingBody"/>
              <w:jc w:val="center"/>
            </w:pPr>
            <w:r>
              <w:t>25%</w:t>
            </w:r>
          </w:p>
        </w:tc>
      </w:tr>
    </w:tbl>
    <w:p w14:paraId="0C6B83DA" w14:textId="20A769B4" w:rsidR="00A33D05" w:rsidRDefault="00EE6E3C" w:rsidP="00F01ED6">
      <w:pPr>
        <w:pStyle w:val="ProductList-Body"/>
        <w:rPr>
          <w:b/>
          <w:bCs/>
          <w:color w:val="00188F"/>
        </w:rPr>
      </w:pPr>
      <w:r>
        <w:rPr>
          <w:b/>
          <w:bCs/>
          <w:color w:val="00188F"/>
        </w:rPr>
        <w:lastRenderedPageBreak/>
        <w:t>Cálculo do Período de Disponibilidade e Níveis de Serviço para Serviço de Aprovisionamento do Dispositivo de Hub de IoT.</w:t>
      </w:r>
    </w:p>
    <w:p w14:paraId="13AE0CE7" w14:textId="77777777" w:rsidR="00A33D05" w:rsidRPr="00ED4527" w:rsidRDefault="00A33D05" w:rsidP="00F01ED6">
      <w:pPr>
        <w:pStyle w:val="ProductList-Body"/>
        <w:rPr>
          <w:b/>
          <w:bCs/>
          <w:color w:val="00188F"/>
        </w:rPr>
      </w:pPr>
      <w:r>
        <w:rPr>
          <w:b/>
          <w:bCs/>
          <w:color w:val="00188F"/>
        </w:rPr>
        <w:t>Definições Adicionais:</w:t>
      </w:r>
    </w:p>
    <w:p w14:paraId="1731B111" w14:textId="134FDD60" w:rsidR="00A33D05" w:rsidRPr="00D64BCA" w:rsidRDefault="00380305" w:rsidP="00F01ED6">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designa o número total de minutos para um determinado Serviço de Aprovisionamento do Dispositivo implementado pelo Cliente numa subscrição do Microsoft Azure durante um Período Aplicável.</w:t>
      </w:r>
    </w:p>
    <w:p w14:paraId="6862A706" w14:textId="490858D7" w:rsidR="00A33D05" w:rsidRPr="005505A7" w:rsidRDefault="00380305" w:rsidP="00F01ED6">
      <w:pPr>
        <w:pStyle w:val="ProductList-Body"/>
        <w:rPr>
          <w:color w:val="000000" w:themeColor="text1"/>
          <w:spacing w:val="-2"/>
        </w:rPr>
      </w:pPr>
      <w:r>
        <w:rPr>
          <w:color w:val="000000" w:themeColor="text1"/>
          <w:spacing w:val="-2"/>
        </w:rPr>
        <w:t>“</w:t>
      </w:r>
      <w:r w:rsidR="00A33D05" w:rsidRPr="005505A7">
        <w:rPr>
          <w:b/>
          <w:bCs/>
          <w:color w:val="00188F"/>
          <w:spacing w:val="-2"/>
        </w:rPr>
        <w:t>Período de Indisponibilidade</w:t>
      </w:r>
      <w:r>
        <w:rPr>
          <w:color w:val="000000" w:themeColor="text1"/>
          <w:spacing w:val="-2"/>
        </w:rPr>
        <w:t>”</w:t>
      </w:r>
      <w:r w:rsidR="00A33D05" w:rsidRPr="005505A7">
        <w:rPr>
          <w:color w:val="000000" w:themeColor="text1"/>
          <w:spacing w:val="-2"/>
        </w:rPr>
        <w:t xml:space="preserve"> é o número total de minutos durante o Máximo de Minutos Disponíveis durante os quais o Serviço de Aprovisionamento do Dispositivo de Hub de IoT está indisponível. Um minuto é considerado indisponível para um determinado Serviço de Aprovisionamento de Dispositivos, se todas as tentativas contínuas para registar um dispositivo ou executar operações de registo/inscrição no Serviço de Aprovisionamento de Dispositivos nesse minuto devolverem um Código de Erro ou não resultarem num Código de Êxito num prazo de dois minutos.</w:t>
      </w:r>
    </w:p>
    <w:p w14:paraId="2BAE86D2" w14:textId="69288491" w:rsidR="00A33D05" w:rsidRPr="00D64BCA" w:rsidRDefault="00AC48A7" w:rsidP="00F01ED6">
      <w:pPr>
        <w:pStyle w:val="ProductList-Body"/>
        <w:rPr>
          <w:color w:val="000000" w:themeColor="text1"/>
        </w:rPr>
      </w:pPr>
      <w:r>
        <w:rPr>
          <w:b/>
          <w:bCs/>
          <w:color w:val="00188F"/>
        </w:rPr>
        <w:t>Percentagem de Período de Disponibilidade:</w:t>
      </w:r>
      <w:r>
        <w:rPr>
          <w:color w:val="000000" w:themeColor="text1"/>
        </w:rPr>
        <w:t xml:space="preserve"> A Percentagem de Período de Disponibilidade é calculada através da seguinte fórmula:</w:t>
      </w:r>
    </w:p>
    <w:p w14:paraId="6176E082" w14:textId="77777777" w:rsidR="00A33D05" w:rsidRPr="00EF7CF9" w:rsidRDefault="00A33D05" w:rsidP="00F01ED6">
      <w:pPr>
        <w:pStyle w:val="ProductList-Body"/>
      </w:pPr>
    </w:p>
    <w:p w14:paraId="288FBA3D" w14:textId="1CFA905F" w:rsidR="00A33D0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CE875ED" w14:textId="77777777" w:rsidR="00A33D05" w:rsidRPr="00ED4527" w:rsidRDefault="00A33D05" w:rsidP="00F01ED6">
      <w:pPr>
        <w:pStyle w:val="ProductList-Body"/>
        <w:tabs>
          <w:tab w:val="clear" w:pos="360"/>
          <w:tab w:val="clear" w:pos="720"/>
          <w:tab w:val="clear" w:pos="1080"/>
        </w:tabs>
        <w:rPr>
          <w:b/>
          <w:bCs/>
          <w:color w:val="00188F"/>
        </w:rPr>
      </w:pPr>
      <w:r>
        <w:rPr>
          <w:b/>
          <w:bCs/>
          <w:color w:val="00188F"/>
        </w:rPr>
        <w:t>Os seguintes Níveis de Serviço e Créditos de Serviço são aplicáveis à utilização que o Cliente faz do Serviço de Aprovisionamento do Dispositivo de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05AAEC"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277097">
        <w:tc>
          <w:tcPr>
            <w:tcW w:w="5400" w:type="dxa"/>
          </w:tcPr>
          <w:p w14:paraId="597FFA28" w14:textId="77777777" w:rsidR="00A33D05" w:rsidRPr="00EF7CF9" w:rsidRDefault="00A33D05" w:rsidP="00F01ED6">
            <w:pPr>
              <w:pStyle w:val="ProductList-OfferingBody"/>
              <w:jc w:val="center"/>
            </w:pPr>
            <w:r>
              <w:t>&lt; 99,9%</w:t>
            </w:r>
          </w:p>
        </w:tc>
        <w:tc>
          <w:tcPr>
            <w:tcW w:w="5400" w:type="dxa"/>
          </w:tcPr>
          <w:p w14:paraId="1DACBB75" w14:textId="77777777" w:rsidR="00A33D05" w:rsidRPr="00EF7CF9" w:rsidRDefault="00A33D05" w:rsidP="00F01ED6">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F01ED6">
            <w:pPr>
              <w:pStyle w:val="ProductList-OfferingBody"/>
              <w:jc w:val="center"/>
            </w:pPr>
            <w:r>
              <w:t>&lt; 99%</w:t>
            </w:r>
          </w:p>
        </w:tc>
        <w:tc>
          <w:tcPr>
            <w:tcW w:w="5400" w:type="dxa"/>
          </w:tcPr>
          <w:p w14:paraId="1FEB35B0" w14:textId="77777777" w:rsidR="00A33D05" w:rsidRPr="00EF7CF9" w:rsidRDefault="00A33D05" w:rsidP="00F01ED6">
            <w:pPr>
              <w:pStyle w:val="ProductList-OfferingBody"/>
              <w:jc w:val="center"/>
            </w:pPr>
            <w:r>
              <w:t>25%</w:t>
            </w:r>
          </w:p>
        </w:tc>
      </w:tr>
    </w:tbl>
    <w:bookmarkStart w:id="290" w:name="_Toc457821554"/>
    <w:bookmarkStart w:id="291" w:name="_Toc52348961"/>
    <w:p w14:paraId="5AFEAE3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156FCE" w14:textId="77777777" w:rsidR="00C46F26" w:rsidRPr="00EF7CF9" w:rsidRDefault="00C46F26" w:rsidP="00F01ED6">
      <w:pPr>
        <w:pStyle w:val="ProductList-Offering2Heading"/>
        <w:keepNext/>
        <w:tabs>
          <w:tab w:val="clear" w:pos="360"/>
          <w:tab w:val="clear" w:pos="720"/>
          <w:tab w:val="clear" w:pos="1080"/>
        </w:tabs>
        <w:outlineLvl w:val="2"/>
      </w:pPr>
      <w:bookmarkStart w:id="292" w:name="_Toc214456829"/>
      <w:r>
        <w:t>Cofre de Chaves</w:t>
      </w:r>
      <w:bookmarkEnd w:id="290"/>
      <w:bookmarkEnd w:id="291"/>
      <w:bookmarkEnd w:id="292"/>
    </w:p>
    <w:p w14:paraId="636EF3C5" w14:textId="77777777" w:rsidR="00C46F26" w:rsidRPr="00EF7CF9" w:rsidRDefault="00C46F26" w:rsidP="00F01ED6">
      <w:pPr>
        <w:pStyle w:val="ProductList-Body"/>
        <w:keepNext/>
        <w:rPr>
          <w:b/>
          <w:color w:val="00188F"/>
        </w:rPr>
      </w:pPr>
      <w:r>
        <w:rPr>
          <w:b/>
          <w:color w:val="00188F"/>
        </w:rPr>
        <w:t>Definições Adicionais</w:t>
      </w:r>
      <w:r w:rsidRPr="00473DD3">
        <w:rPr>
          <w:b/>
          <w:color w:val="00188F"/>
        </w:rPr>
        <w:t>:</w:t>
      </w:r>
    </w:p>
    <w:p w14:paraId="57980324" w14:textId="77777777" w:rsidR="00C51D74" w:rsidRPr="00C51D74" w:rsidRDefault="00380305" w:rsidP="002B779A">
      <w:pPr>
        <w:pStyle w:val="ProductList-Body"/>
        <w:rPr>
          <w:rFonts w:cstheme="minorHAnsi"/>
        </w:rPr>
      </w:pPr>
      <w:r>
        <w:t>“</w:t>
      </w:r>
      <w:r w:rsidR="00C46F26">
        <w:rPr>
          <w:b/>
          <w:color w:val="00188F"/>
        </w:rPr>
        <w:t>Minutos de Implementação</w:t>
      </w:r>
      <w:r>
        <w:t>”</w:t>
      </w:r>
      <w:r w:rsidR="00C46F26">
        <w:t xml:space="preserve"> </w:t>
      </w:r>
      <w:r w:rsidR="00C51D74" w:rsidRPr="00C51D74">
        <w:rPr>
          <w:rFonts w:cstheme="minorHAnsi"/>
        </w:rPr>
        <w:t>designa o número total de minutos durante os quais um determinado cofre de chaves esteve implementado no Microsoft Azure num mês de faturação.</w:t>
      </w:r>
    </w:p>
    <w:p w14:paraId="7DBD6B58" w14:textId="77777777" w:rsidR="00C51D74" w:rsidRPr="00C51D74" w:rsidRDefault="00C51D74" w:rsidP="002B779A">
      <w:pPr>
        <w:pStyle w:val="ProductList-Body"/>
        <w:rPr>
          <w:rFonts w:cstheme="minorHAnsi"/>
        </w:rPr>
      </w:pPr>
      <w:r w:rsidRPr="00C51D74">
        <w:rPr>
          <w:rFonts w:cstheme="minorHAnsi"/>
        </w:rPr>
        <w:t>“</w:t>
      </w:r>
      <w:r w:rsidRPr="00C51D74">
        <w:rPr>
          <w:rFonts w:cstheme="minorHAnsi"/>
          <w:b/>
          <w:color w:val="00188F"/>
        </w:rPr>
        <w:t>Transações Excluídas</w:t>
      </w:r>
      <w:r w:rsidRPr="00C51D74">
        <w:rPr>
          <w:rFonts w:cstheme="minorHAnsi"/>
        </w:rPr>
        <w:t>” designa as transações para a criação, atualização ou eliminação de cofres de chaves, chaves ou segredos.</w:t>
      </w:r>
    </w:p>
    <w:p w14:paraId="66CC050E" w14:textId="77777777" w:rsidR="00C51D74" w:rsidRPr="00C51D74" w:rsidRDefault="00C51D74" w:rsidP="002B779A">
      <w:pPr>
        <w:pStyle w:val="ProductList-Body"/>
        <w:rPr>
          <w:rFonts w:cstheme="minorHAnsi"/>
        </w:rPr>
      </w:pPr>
      <w:r w:rsidRPr="00C51D74">
        <w:rPr>
          <w:rFonts w:cstheme="minorHAnsi"/>
        </w:rPr>
        <w:t>“</w:t>
      </w:r>
      <w:r w:rsidRPr="00C51D74">
        <w:rPr>
          <w:rFonts w:cstheme="minorHAnsi"/>
          <w:b/>
          <w:color w:val="00188F"/>
        </w:rPr>
        <w:t>Máximo de Minutos Disponíveis</w:t>
      </w:r>
      <w:r w:rsidRPr="00C51D74">
        <w:rPr>
          <w:rFonts w:cstheme="minorHAnsi"/>
        </w:rPr>
        <w:t>” designa a soma de todos os Minutos de Implementação em todos os Cofres de Chaves implementados pelo Cliente numa determinada subscrição do Microsoft Azure num mês de faturação.</w:t>
      </w:r>
    </w:p>
    <w:p w14:paraId="3D63133A" w14:textId="3BEACE1E" w:rsidR="00C46F26" w:rsidRPr="00EF7CF9" w:rsidRDefault="00C46F26" w:rsidP="00C51D74">
      <w:pPr>
        <w:pStyle w:val="ProductList-Body"/>
        <w:spacing w:after="40"/>
      </w:pPr>
      <w:r>
        <w:rPr>
          <w:b/>
          <w:color w:val="00188F"/>
        </w:rPr>
        <w:t>Período de Indisponibilidade</w:t>
      </w:r>
      <w:r w:rsidRPr="00473DD3">
        <w:rPr>
          <w:b/>
          <w:color w:val="00188F"/>
        </w:rPr>
        <w:t>:</w:t>
      </w:r>
      <w:r>
        <w:t xml:space="preserve"> designa 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1CE57103" w14:textId="7E1C1BAE" w:rsidR="00C46F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99E0B21" w14:textId="69653BED" w:rsidR="00C46F26" w:rsidRPr="00EF7CF9" w:rsidRDefault="00000000" w:rsidP="002B77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F1DBAB8" w14:textId="77777777" w:rsidR="00C46F26" w:rsidRPr="00EF7CF9" w:rsidRDefault="00C46F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0062D5" w14:textId="77777777" w:rsidR="00C46F26" w:rsidRPr="00EF7CF9" w:rsidRDefault="00C46F26" w:rsidP="00F01ED6">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277097">
        <w:tc>
          <w:tcPr>
            <w:tcW w:w="5400" w:type="dxa"/>
          </w:tcPr>
          <w:p w14:paraId="47AD5171" w14:textId="6A1A1D26" w:rsidR="00C46F26" w:rsidRPr="00EF7CF9" w:rsidRDefault="00C46F26" w:rsidP="00F01ED6">
            <w:pPr>
              <w:pStyle w:val="ProductList-OfferingBody"/>
              <w:jc w:val="center"/>
            </w:pPr>
            <w:r>
              <w:t>&lt; 99,</w:t>
            </w:r>
            <w:r w:rsidR="00616A42">
              <w:t>9</w:t>
            </w:r>
            <w:r>
              <w:t>9%</w:t>
            </w:r>
          </w:p>
        </w:tc>
        <w:tc>
          <w:tcPr>
            <w:tcW w:w="5400" w:type="dxa"/>
          </w:tcPr>
          <w:p w14:paraId="5F1A3A62" w14:textId="77777777" w:rsidR="00C46F26" w:rsidRPr="00EF7CF9" w:rsidRDefault="00C46F26" w:rsidP="00F01ED6">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F01ED6">
            <w:pPr>
              <w:pStyle w:val="ProductList-OfferingBody"/>
              <w:jc w:val="center"/>
            </w:pPr>
            <w:r>
              <w:t>&lt; 99%</w:t>
            </w:r>
          </w:p>
        </w:tc>
        <w:tc>
          <w:tcPr>
            <w:tcW w:w="5400" w:type="dxa"/>
          </w:tcPr>
          <w:p w14:paraId="0C993539" w14:textId="77777777" w:rsidR="00C46F26" w:rsidRPr="00EF7CF9" w:rsidRDefault="00C46F26" w:rsidP="00F01ED6">
            <w:pPr>
              <w:pStyle w:val="ProductList-OfferingBody"/>
              <w:jc w:val="center"/>
            </w:pPr>
            <w:r>
              <w:t>25%</w:t>
            </w:r>
          </w:p>
        </w:tc>
      </w:tr>
    </w:tbl>
    <w:p w14:paraId="7B432F5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EA7782" w14:textId="77777777" w:rsidR="00660E55" w:rsidRPr="00C55C00" w:rsidRDefault="00660E55" w:rsidP="00F01ED6">
      <w:pPr>
        <w:pStyle w:val="ProductList-Offering2Heading"/>
        <w:keepNext/>
        <w:tabs>
          <w:tab w:val="clear" w:pos="360"/>
          <w:tab w:val="clear" w:pos="720"/>
          <w:tab w:val="clear" w:pos="1080"/>
        </w:tabs>
        <w:outlineLvl w:val="2"/>
        <w:rPr>
          <w:lang w:val="en-IN"/>
        </w:rPr>
      </w:pPr>
      <w:bookmarkStart w:id="293" w:name="_Toc214456830"/>
      <w:r w:rsidRPr="00C55C00">
        <w:rPr>
          <w:lang w:val="en-IN"/>
        </w:rPr>
        <w:t>Azure Key Vault Managed HSM</w:t>
      </w:r>
      <w:bookmarkEnd w:id="293"/>
    </w:p>
    <w:p w14:paraId="58F7AD23" w14:textId="2D7CF5B4" w:rsidR="00660E55" w:rsidRPr="00660E55" w:rsidRDefault="00EE6E3C" w:rsidP="00F01ED6">
      <w:pPr>
        <w:pStyle w:val="ProductList-Body"/>
        <w:rPr>
          <w:b/>
          <w:bCs/>
          <w:color w:val="00188F"/>
        </w:rPr>
      </w:pPr>
      <w:r>
        <w:rPr>
          <w:b/>
          <w:bCs/>
          <w:color w:val="00188F"/>
        </w:rPr>
        <w:t>Cálculo do Período de Disponibilidade e Níveis de Serviço do HSM Gerido</w:t>
      </w:r>
    </w:p>
    <w:p w14:paraId="30B9FBAC" w14:textId="0769180A" w:rsidR="00660E55" w:rsidRDefault="00380305" w:rsidP="00F01ED6">
      <w:pPr>
        <w:pStyle w:val="ProductList-Body"/>
      </w:pPr>
      <w:r>
        <w:t>“</w:t>
      </w:r>
      <w:r w:rsidR="00660E55">
        <w:rPr>
          <w:b/>
          <w:bCs/>
          <w:color w:val="00188F"/>
        </w:rPr>
        <w:t>Minutos de Implementação</w:t>
      </w:r>
      <w:r>
        <w:t>”</w:t>
      </w:r>
      <w:r w:rsidR="00660E55">
        <w:t xml:space="preserve"> designa o número total de minutos durante os quais um determinado HSM gerido foi implementada no Microsoft Azure durante um Período Aplicável.</w:t>
      </w:r>
    </w:p>
    <w:p w14:paraId="053CE29C" w14:textId="55ED6CAD" w:rsidR="00660E55" w:rsidRDefault="00380305" w:rsidP="00F01ED6">
      <w:pPr>
        <w:pStyle w:val="ProductList-Body"/>
      </w:pPr>
      <w:r>
        <w:t>“</w:t>
      </w:r>
      <w:r w:rsidR="00660E55">
        <w:rPr>
          <w:b/>
          <w:bCs/>
          <w:color w:val="00188F"/>
        </w:rPr>
        <w:t>Máximo de Minutos Disponíveis</w:t>
      </w:r>
      <w:r>
        <w:t>”</w:t>
      </w:r>
      <w:r w:rsidR="00660E55">
        <w:t xml:space="preserve"> designa a soma de todos os Minutos de Implementação em todos os HSM geridos implementados pelo Cliente numa determinada subscrição do Microsoft Azure durante um Período Aplicável.</w:t>
      </w:r>
    </w:p>
    <w:p w14:paraId="7FE43870" w14:textId="3051A317" w:rsidR="00660E55" w:rsidRDefault="00380305" w:rsidP="00F01ED6">
      <w:pPr>
        <w:pStyle w:val="ProductList-Body"/>
      </w:pPr>
      <w:r>
        <w:t>“</w:t>
      </w:r>
      <w:r w:rsidR="00660E55">
        <w:rPr>
          <w:b/>
          <w:bCs/>
          <w:color w:val="00188F"/>
        </w:rPr>
        <w:t>Transações Excluídas</w:t>
      </w:r>
      <w:r>
        <w:t>”</w:t>
      </w:r>
      <w:r w:rsidR="00660E55">
        <w:t xml:space="preserve"> são transações para criar, atualizar ou eliminar HSMs geridos, chaves, atribuições de funções, definições de funções e</w:t>
      </w:r>
      <w:r w:rsidR="00D66DA1">
        <w:t> </w:t>
      </w:r>
      <w:r w:rsidR="00660E55">
        <w:t>transferência/carregamento do domínio de segurança.</w:t>
      </w:r>
    </w:p>
    <w:p w14:paraId="10F6540B" w14:textId="2467A418" w:rsidR="00660E55" w:rsidRPr="001C1F84" w:rsidRDefault="00380305" w:rsidP="00F01ED6">
      <w:pPr>
        <w:pStyle w:val="ProductList-Body"/>
        <w:rPr>
          <w:spacing w:val="-2"/>
        </w:rPr>
      </w:pPr>
      <w:r>
        <w:rPr>
          <w:spacing w:val="-2"/>
        </w:rPr>
        <w:t>“</w:t>
      </w:r>
      <w:r w:rsidR="00660E55" w:rsidRPr="001C1F84">
        <w:rPr>
          <w:b/>
          <w:bCs/>
          <w:color w:val="00188F"/>
          <w:spacing w:val="-2"/>
        </w:rPr>
        <w:t>Período de Indisponibilidade</w:t>
      </w:r>
      <w:r>
        <w:rPr>
          <w:spacing w:val="-2"/>
        </w:rPr>
        <w:t>”</w:t>
      </w:r>
      <w:r w:rsidR="00660E55" w:rsidRPr="001C1F84">
        <w:rPr>
          <w:spacing w:val="-2"/>
        </w:rPr>
        <w:t xml:space="preserve"> designa o total de Minutos de Implementação acumulados, em todos os HSMs geridos implementados pelo Cliente numa determinada subscrição do Microsoft Azure, durante a qual o HSM gerido está indisponível. Um minuto é considerado indisponível para um determinado HSM gerido se todas as tentativas contínuas para executar transações, que não Transações Excluídas, no HSM gerido durante esse minuto devolverem um Código de Erro ou não resultarem num Código de Êxito num prazo de 5 segundos após a receção do pedido por parte da Microsoft.</w:t>
      </w:r>
    </w:p>
    <w:p w14:paraId="28CE48E2" w14:textId="45779E04" w:rsidR="00660E55" w:rsidRDefault="00660E55" w:rsidP="00F01ED6">
      <w:pPr>
        <w:pStyle w:val="ProductList-Body"/>
      </w:pPr>
      <w:r>
        <w:lastRenderedPageBreak/>
        <w:t xml:space="preserve">A </w:t>
      </w:r>
      <w:r w:rsidR="00380305">
        <w:t>“</w:t>
      </w:r>
      <w:r>
        <w:rPr>
          <w:b/>
          <w:bCs/>
          <w:color w:val="00188F"/>
        </w:rPr>
        <w:t>Percentagem de Período de Disponibilidade</w:t>
      </w:r>
      <w:r w:rsidR="00380305">
        <w:t>”</w:t>
      </w:r>
      <w:r>
        <w:t xml:space="preserve"> para o Serviço HSM Gerido é calculada como o Máximo de Minutos Disponíveis menos o Período de Indisponibilidade a dividir pelo Máximo de Minutos Disponíveis num Período Aplicável para uma determinada subscrição do Microsoft Azure. </w:t>
      </w:r>
    </w:p>
    <w:p w14:paraId="6A6FF732" w14:textId="4E4D019B" w:rsidR="00660E55" w:rsidRDefault="00AC48A7" w:rsidP="00F01ED6">
      <w:pPr>
        <w:pStyle w:val="ProductList-Body"/>
      </w:pPr>
      <w:r>
        <w:t>A Percentagem de Período de Disponibilidade é representada pela seguinte fórmula:</w:t>
      </w:r>
    </w:p>
    <w:p w14:paraId="2CB08560" w14:textId="30ED0650" w:rsidR="00660E55" w:rsidRPr="00EF7CF9" w:rsidRDefault="00000000" w:rsidP="002B77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DACD42B" w14:textId="77777777" w:rsidR="00660E55" w:rsidRPr="00660E55" w:rsidRDefault="00660E55" w:rsidP="00F01ED6">
      <w:pPr>
        <w:pStyle w:val="ProductList-Body"/>
        <w:rPr>
          <w:b/>
          <w:bCs/>
          <w:color w:val="00188F"/>
        </w:rPr>
      </w:pPr>
      <w:r>
        <w:rPr>
          <w:b/>
          <w:bCs/>
          <w:color w:val="00188F"/>
        </w:rPr>
        <w:t>Os seguintes Níveis de Serviço e Créditos de Serviço são aplicáveis à utilização que o Cliente faz do Serviço de HSM Gerido: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1976303" w14:textId="77777777" w:rsidR="00660E55" w:rsidRPr="00EF7CF9" w:rsidRDefault="00660E55" w:rsidP="00F01ED6">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277097">
        <w:tc>
          <w:tcPr>
            <w:tcW w:w="5400" w:type="dxa"/>
          </w:tcPr>
          <w:p w14:paraId="762D3691" w14:textId="77777777" w:rsidR="00660E55" w:rsidRPr="00EF7CF9" w:rsidRDefault="00660E55" w:rsidP="00F01ED6">
            <w:pPr>
              <w:pStyle w:val="ProductList-OfferingBody"/>
              <w:jc w:val="center"/>
            </w:pPr>
            <w:r>
              <w:t>&lt; 99,9%</w:t>
            </w:r>
          </w:p>
        </w:tc>
        <w:tc>
          <w:tcPr>
            <w:tcW w:w="5400" w:type="dxa"/>
          </w:tcPr>
          <w:p w14:paraId="3F9342B3" w14:textId="77777777" w:rsidR="00660E55" w:rsidRPr="00EF7CF9" w:rsidRDefault="00660E55" w:rsidP="00F01ED6">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F01ED6">
            <w:pPr>
              <w:pStyle w:val="ProductList-OfferingBody"/>
              <w:jc w:val="center"/>
            </w:pPr>
            <w:r>
              <w:t>&lt; 99%</w:t>
            </w:r>
          </w:p>
        </w:tc>
        <w:tc>
          <w:tcPr>
            <w:tcW w:w="5400" w:type="dxa"/>
          </w:tcPr>
          <w:p w14:paraId="1CFA6DDE" w14:textId="77777777" w:rsidR="00660E55" w:rsidRPr="00EF7CF9" w:rsidRDefault="00660E55" w:rsidP="00F01ED6">
            <w:pPr>
              <w:pStyle w:val="ProductList-OfferingBody"/>
              <w:jc w:val="center"/>
            </w:pPr>
            <w:r>
              <w:t>25%</w:t>
            </w:r>
          </w:p>
        </w:tc>
      </w:tr>
    </w:tbl>
    <w:p w14:paraId="1B75FC23" w14:textId="77777777" w:rsidR="004A1D38" w:rsidRPr="007664A7" w:rsidRDefault="004A1D38" w:rsidP="004A1D38">
      <w:pPr>
        <w:pStyle w:val="ProductList-Body"/>
        <w:spacing w:before="120"/>
        <w:rPr>
          <w:rFonts w:ascii="Calibri" w:hAnsi="Calibri" w:cs="Calibri"/>
          <w:b/>
          <w:bCs/>
          <w:color w:val="00188F"/>
        </w:rPr>
      </w:pPr>
      <w:r>
        <w:rPr>
          <w:rFonts w:ascii="Calibri" w:hAnsi="Calibri" w:cs="Calibri"/>
          <w:b/>
          <w:bCs/>
          <w:color w:val="00188F"/>
        </w:rPr>
        <w:t>Para o Serviço HSM Gerido, em que um conjunto de HSM gerido é replicado nas regiões do Azure, são aplicáveis os seguintes Níveis de Serviço e Créditos de Serviço correspondentes (a Percentagem de Período de Disponibilidade é calculada com base na disponibilidade combinada dos conjuntos de HSM primários e replicados):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D38" w:rsidRPr="00EF7CF9" w14:paraId="0599BCD8" w14:textId="77777777" w:rsidTr="008367CC">
        <w:trPr>
          <w:trHeight w:val="245"/>
          <w:tblHeader/>
        </w:trPr>
        <w:tc>
          <w:tcPr>
            <w:tcW w:w="5400" w:type="dxa"/>
            <w:shd w:val="clear" w:color="auto" w:fill="0072C6"/>
          </w:tcPr>
          <w:p w14:paraId="18568E4E" w14:textId="77777777" w:rsidR="004A1D38" w:rsidRPr="007664A7" w:rsidRDefault="004A1D3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4B9DF3AB" w14:textId="77777777" w:rsidR="004A1D38" w:rsidRPr="007664A7" w:rsidRDefault="004A1D3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4A1D38" w:rsidRPr="00EF7CF9" w14:paraId="6E4AF566" w14:textId="77777777" w:rsidTr="008367CC">
        <w:trPr>
          <w:trHeight w:val="245"/>
        </w:trPr>
        <w:tc>
          <w:tcPr>
            <w:tcW w:w="5400" w:type="dxa"/>
          </w:tcPr>
          <w:p w14:paraId="75EE5626" w14:textId="77777777" w:rsidR="004A1D38" w:rsidRPr="007664A7" w:rsidRDefault="004A1D38"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536BEC09" w14:textId="77777777" w:rsidR="004A1D38" w:rsidRPr="007664A7" w:rsidRDefault="004A1D38" w:rsidP="008367CC">
            <w:pPr>
              <w:pStyle w:val="ProductList-OfferingBody"/>
              <w:jc w:val="center"/>
              <w:rPr>
                <w:rFonts w:ascii="Calibri" w:hAnsi="Calibri" w:cs="Calibri"/>
                <w:szCs w:val="16"/>
              </w:rPr>
            </w:pPr>
            <w:r>
              <w:rPr>
                <w:rFonts w:ascii="Calibri" w:hAnsi="Calibri" w:cs="Calibri"/>
                <w:szCs w:val="16"/>
              </w:rPr>
              <w:t>10%</w:t>
            </w:r>
          </w:p>
        </w:tc>
      </w:tr>
      <w:tr w:rsidR="004A1D38" w:rsidRPr="00EF7CF9" w14:paraId="0195D7ED" w14:textId="77777777" w:rsidTr="008367CC">
        <w:trPr>
          <w:trHeight w:val="245"/>
        </w:trPr>
        <w:tc>
          <w:tcPr>
            <w:tcW w:w="5400" w:type="dxa"/>
          </w:tcPr>
          <w:p w14:paraId="4CB54BFB" w14:textId="77777777" w:rsidR="004A1D38" w:rsidRPr="007664A7" w:rsidRDefault="004A1D38"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6230B4D2" w14:textId="77777777" w:rsidR="004A1D38" w:rsidRPr="007664A7" w:rsidRDefault="004A1D38" w:rsidP="008367CC">
            <w:pPr>
              <w:pStyle w:val="ProductList-OfferingBody"/>
              <w:jc w:val="center"/>
              <w:rPr>
                <w:rFonts w:ascii="Calibri" w:hAnsi="Calibri" w:cs="Calibri"/>
                <w:szCs w:val="16"/>
              </w:rPr>
            </w:pPr>
            <w:r>
              <w:rPr>
                <w:rFonts w:ascii="Calibri" w:hAnsi="Calibri" w:cs="Calibri"/>
                <w:szCs w:val="16"/>
              </w:rPr>
              <w:t>25%</w:t>
            </w:r>
          </w:p>
        </w:tc>
      </w:tr>
    </w:tbl>
    <w:p w14:paraId="20A15615" w14:textId="77777777" w:rsidR="004A1D38" w:rsidRPr="00EF7CF9" w:rsidRDefault="004A1D38" w:rsidP="004A1D3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7AFF7E" w14:textId="477EBE3B" w:rsidR="00F82DA2" w:rsidRPr="00F82DA2" w:rsidRDefault="00F82DA2" w:rsidP="00F01ED6">
      <w:pPr>
        <w:pStyle w:val="ProductList-Offering2Heading"/>
        <w:keepNext/>
        <w:tabs>
          <w:tab w:val="clear" w:pos="360"/>
          <w:tab w:val="clear" w:pos="720"/>
          <w:tab w:val="clear" w:pos="1080"/>
        </w:tabs>
        <w:outlineLvl w:val="2"/>
      </w:pPr>
      <w:bookmarkStart w:id="294" w:name="_Toc214456831"/>
      <w:r>
        <w:t>Azure Kubernetes Service (AKS)</w:t>
      </w:r>
      <w:bookmarkEnd w:id="294"/>
    </w:p>
    <w:p w14:paraId="61A85984" w14:textId="77777777" w:rsidR="00F82DA2" w:rsidRPr="005A1265" w:rsidRDefault="00F82DA2" w:rsidP="00F01ED6">
      <w:pPr>
        <w:pStyle w:val="ProductList-Body"/>
        <w:rPr>
          <w:b/>
          <w:bCs/>
          <w:color w:val="00188F"/>
        </w:rPr>
      </w:pPr>
      <w:r>
        <w:rPr>
          <w:b/>
          <w:bCs/>
          <w:color w:val="00188F"/>
        </w:rPr>
        <w:t>Definições Adicionais</w:t>
      </w:r>
    </w:p>
    <w:p w14:paraId="127F0781" w14:textId="34F72A13" w:rsidR="00F82DA2" w:rsidRDefault="00F82DA2" w:rsidP="00F01ED6">
      <w:pPr>
        <w:pStyle w:val="ProductList-Body"/>
      </w:pPr>
      <w:r w:rsidRPr="00CB7596">
        <w:t xml:space="preserve">Cluster do </w:t>
      </w:r>
      <w:r w:rsidR="00380305" w:rsidRPr="00CB7596">
        <w:t>“</w:t>
      </w:r>
      <w:r>
        <w:rPr>
          <w:b/>
          <w:bCs/>
          <w:color w:val="00188F"/>
        </w:rPr>
        <w:t>Azure Kubernetes Service (AKS)</w:t>
      </w:r>
      <w:r w:rsidR="00380305" w:rsidRPr="00380305">
        <w:t>”</w:t>
      </w:r>
      <w:r>
        <w:t xml:space="preserve"> Um cluster do Kubernetes está dividido em dois componentes:</w:t>
      </w:r>
    </w:p>
    <w:p w14:paraId="3F836EE1" w14:textId="77777777" w:rsidR="00F82DA2" w:rsidRDefault="00F82DA2" w:rsidP="00F01ED6">
      <w:pPr>
        <w:pStyle w:val="ProductList-Body"/>
        <w:numPr>
          <w:ilvl w:val="0"/>
          <w:numId w:val="20"/>
        </w:numPr>
      </w:pPr>
      <w:r>
        <w:t>Os nós do plano de controlo fornecem os serviços do Kubernetes principais e a orquestração das cargas de trabalho de aplicação.</w:t>
      </w:r>
    </w:p>
    <w:p w14:paraId="304182C8" w14:textId="01A08E20" w:rsidR="00F82DA2" w:rsidRDefault="00F82DA2" w:rsidP="00F01ED6">
      <w:pPr>
        <w:pStyle w:val="ProductList-Body"/>
        <w:numPr>
          <w:ilvl w:val="0"/>
          <w:numId w:val="20"/>
        </w:numPr>
      </w:pPr>
      <w:r>
        <w:t>Os nós executam as cargas de trabalho de aplicação.</w:t>
      </w:r>
    </w:p>
    <w:p w14:paraId="5C4312B7" w14:textId="19B1F6E2" w:rsidR="00F82DA2" w:rsidRDefault="00380305" w:rsidP="00F01ED6">
      <w:pPr>
        <w:pStyle w:val="ProductList-Body"/>
      </w:pPr>
      <w:r>
        <w:t>“</w:t>
      </w:r>
      <w:r w:rsidR="00F82DA2">
        <w:rPr>
          <w:b/>
          <w:bCs/>
          <w:color w:val="00188F"/>
        </w:rPr>
        <w:t>Servidor da API do Kubernetes</w:t>
      </w:r>
      <w:r>
        <w:t>”</w:t>
      </w:r>
      <w:r w:rsidR="00F82DA2">
        <w:t xml:space="preserve"> Quando é criado um Cluster do Azure Kubernetes Service (AKS), é criado e configurado automaticamente um</w:t>
      </w:r>
      <w:r w:rsidR="001963CD">
        <w:t> </w:t>
      </w:r>
      <w:r w:rsidR="00F82DA2">
        <w:t>plano de controlo. O plano de controlo inclui o Servidor da API que expõe a API do Kubernetes subjacente.</w:t>
      </w:r>
    </w:p>
    <w:p w14:paraId="55487483" w14:textId="0EC18CB9" w:rsidR="00F82DA2" w:rsidRPr="001C1F84" w:rsidRDefault="00380305" w:rsidP="00F01ED6">
      <w:pPr>
        <w:pStyle w:val="ProductList-Body"/>
        <w:rPr>
          <w:spacing w:val="-3"/>
        </w:rPr>
      </w:pPr>
      <w:r>
        <w:rPr>
          <w:spacing w:val="-3"/>
        </w:rPr>
        <w:t>“</w:t>
      </w:r>
      <w:r w:rsidR="00F82DA2" w:rsidRPr="001C1F84">
        <w:rPr>
          <w:b/>
          <w:bCs/>
          <w:color w:val="00188F"/>
          <w:spacing w:val="-3"/>
        </w:rPr>
        <w:t>Zona de Disponibilidade</w:t>
      </w:r>
      <w:r>
        <w:rPr>
          <w:spacing w:val="-3"/>
        </w:rPr>
        <w:t>”</w:t>
      </w:r>
      <w:r w:rsidR="00F82DA2" w:rsidRPr="001C1F84">
        <w:rPr>
          <w:spacing w:val="-3"/>
        </w:rPr>
        <w:t xml:space="preserve"> designa uma área isolada de falhas numa região do Azure que providencia alimentação, refrigeração e rede redundantes.</w:t>
      </w:r>
    </w:p>
    <w:p w14:paraId="15813F01" w14:textId="77777777" w:rsidR="001C1F84" w:rsidRPr="006B31E1" w:rsidRDefault="001C1F84" w:rsidP="00F01ED6">
      <w:pPr>
        <w:pStyle w:val="ProductList-Body"/>
        <w:rPr>
          <w:sz w:val="12"/>
          <w:szCs w:val="12"/>
        </w:rPr>
      </w:pPr>
    </w:p>
    <w:p w14:paraId="4A9E6F02" w14:textId="2345EADD" w:rsidR="00F82DA2" w:rsidRPr="007E7727" w:rsidRDefault="00EE6E3C" w:rsidP="00F01ED6">
      <w:pPr>
        <w:pStyle w:val="ProductList-Body"/>
        <w:rPr>
          <w:b/>
          <w:bCs/>
          <w:color w:val="00188F"/>
        </w:rPr>
      </w:pPr>
      <w:r>
        <w:rPr>
          <w:b/>
          <w:bCs/>
          <w:color w:val="00188F"/>
        </w:rPr>
        <w:t>Cálculo do Período de Disponibilidade e Níveis de Serviço para os Clusters do AKS que utilizam as Zonas de Disponibilidade</w:t>
      </w:r>
    </w:p>
    <w:p w14:paraId="3B157BD0" w14:textId="0C298105"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ativado para a Zona de Disponibilidade até ao</w:t>
      </w:r>
      <w:r w:rsidR="00D87C26">
        <w:t> </w:t>
      </w:r>
      <w:r w:rsidR="00F82DA2">
        <w:t>momento em que o Cliente iniciou uma ação para parar ou eliminar o Cluster do AKS durante um Período Aplicável.</w:t>
      </w:r>
    </w:p>
    <w:p w14:paraId="08E07572" w14:textId="60896044"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sem conectividade ao</w:t>
      </w:r>
      <w:r w:rsidR="00D87C26">
        <w:t> </w:t>
      </w:r>
      <w:r w:rsidR="00F82DA2">
        <w:t>Servidor da API do Kubernetes a partir do Cluster do AKS ativado para a Zona de Disponibilidade aprovisionada na região.</w:t>
      </w:r>
    </w:p>
    <w:p w14:paraId="5A3F2225" w14:textId="38C3A51F"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para os Clusters do AKS ativados para a Zona de Disponibilidade é calculada como o Máximo de</w:t>
      </w:r>
      <w:r w:rsidR="00D87C26">
        <w:t> </w:t>
      </w:r>
      <w:r>
        <w:t>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491929FA" w14:textId="77777777" w:rsidR="007E7727" w:rsidRPr="001345FE" w:rsidRDefault="007E7727" w:rsidP="00F01ED6">
      <w:pPr>
        <w:pStyle w:val="ProductList-Body"/>
        <w:rPr>
          <w:sz w:val="12"/>
          <w:szCs w:val="12"/>
        </w:rPr>
      </w:pPr>
    </w:p>
    <w:p w14:paraId="656C265F" w14:textId="3F544E2C" w:rsidR="007E7727" w:rsidRPr="00EF7CF9" w:rsidRDefault="00000000" w:rsidP="006B31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26A7E8C"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dos Clusters do AKS com Zonas de 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B51CB06"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277097">
        <w:tc>
          <w:tcPr>
            <w:tcW w:w="5400" w:type="dxa"/>
          </w:tcPr>
          <w:p w14:paraId="292A2086" w14:textId="6461DC22" w:rsidR="007E7727" w:rsidRPr="00EF7CF9" w:rsidRDefault="007E7727" w:rsidP="00F01ED6">
            <w:pPr>
              <w:pStyle w:val="ProductList-OfferingBody"/>
              <w:jc w:val="center"/>
            </w:pPr>
            <w:r>
              <w:t>&lt; 99,95%</w:t>
            </w:r>
          </w:p>
        </w:tc>
        <w:tc>
          <w:tcPr>
            <w:tcW w:w="5400" w:type="dxa"/>
          </w:tcPr>
          <w:p w14:paraId="502E6A7A" w14:textId="77777777" w:rsidR="007E7727" w:rsidRPr="00EF7CF9" w:rsidRDefault="007E7727" w:rsidP="00F01ED6">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F01ED6">
            <w:pPr>
              <w:pStyle w:val="ProductList-OfferingBody"/>
              <w:jc w:val="center"/>
            </w:pPr>
            <w:r>
              <w:t>&lt; 99%</w:t>
            </w:r>
          </w:p>
        </w:tc>
        <w:tc>
          <w:tcPr>
            <w:tcW w:w="5400" w:type="dxa"/>
          </w:tcPr>
          <w:p w14:paraId="47AA3AAB" w14:textId="77777777" w:rsidR="007E7727" w:rsidRPr="00EF7CF9" w:rsidRDefault="007E7727" w:rsidP="00F01ED6">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F01ED6">
            <w:pPr>
              <w:pStyle w:val="ProductList-OfferingBody"/>
              <w:jc w:val="center"/>
            </w:pPr>
            <w:r>
              <w:t>&lt; 95%</w:t>
            </w:r>
          </w:p>
        </w:tc>
        <w:tc>
          <w:tcPr>
            <w:tcW w:w="5400" w:type="dxa"/>
          </w:tcPr>
          <w:p w14:paraId="39F4B2F2" w14:textId="433C6D15" w:rsidR="007E7727" w:rsidRPr="00EF7CF9" w:rsidRDefault="007E7727" w:rsidP="00F01ED6">
            <w:pPr>
              <w:pStyle w:val="ProductList-OfferingBody"/>
              <w:jc w:val="center"/>
            </w:pPr>
            <w:r>
              <w:t>100%</w:t>
            </w:r>
          </w:p>
        </w:tc>
      </w:tr>
    </w:tbl>
    <w:p w14:paraId="79783696" w14:textId="5885F0B1" w:rsidR="00F82DA2" w:rsidRPr="007E7727" w:rsidRDefault="00EE6E3C" w:rsidP="006B31E1">
      <w:pPr>
        <w:pStyle w:val="ProductList-Body"/>
        <w:spacing w:before="120"/>
        <w:rPr>
          <w:b/>
          <w:bCs/>
          <w:color w:val="00188F"/>
        </w:rPr>
      </w:pPr>
      <w:r>
        <w:rPr>
          <w:b/>
          <w:bCs/>
          <w:color w:val="00188F"/>
        </w:rPr>
        <w:t>Cálculo do Período de Disponibilidade e Níveis de Serviço para os Clusters do AKS que não utilizam as Zonas de Disponibilidade</w:t>
      </w:r>
    </w:p>
    <w:p w14:paraId="13D307EA" w14:textId="723B12FE"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aprovisionado até ao momento em que o Cliente iniciou uma ação para parar ou eliminar o cluster durante um Período Aplicável.</w:t>
      </w:r>
    </w:p>
    <w:p w14:paraId="290292FF" w14:textId="10D6EEC3"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em que o Cluster do</w:t>
      </w:r>
      <w:r w:rsidR="00C41789">
        <w:t> </w:t>
      </w:r>
      <w:r w:rsidR="00F82DA2">
        <w:t>AKS aprovisionado não tem conectividade ao Servidor da API do Kubernetes.</w:t>
      </w:r>
    </w:p>
    <w:p w14:paraId="146AF392" w14:textId="4DA27199"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é calculada como o Máximo de Minutos Disponíveis menos o Período de Indisponibilidade a</w:t>
      </w:r>
      <w:r w:rsidR="00C41789">
        <w:t> </w:t>
      </w:r>
      <w:r>
        <w:t>dividir pelo Máximo de Minutos Disponíveis num Período Aplicável para uma determinada subscrição do Microsoft Azure. A Percentagem de</w:t>
      </w:r>
      <w:r w:rsidR="00C41789">
        <w:t> </w:t>
      </w:r>
      <w:r>
        <w:t>Período de Disponibilidade é representada pela seguinte fórmula:</w:t>
      </w:r>
    </w:p>
    <w:p w14:paraId="102C74AA" w14:textId="77777777" w:rsidR="007E7727" w:rsidRPr="001345FE" w:rsidRDefault="007E7727" w:rsidP="00F01ED6">
      <w:pPr>
        <w:pStyle w:val="ProductList-Body"/>
        <w:rPr>
          <w:sz w:val="12"/>
          <w:szCs w:val="12"/>
        </w:rPr>
      </w:pPr>
    </w:p>
    <w:p w14:paraId="14845F17" w14:textId="1D931C78" w:rsidR="007E7727" w:rsidRPr="00EF7CF9" w:rsidRDefault="00000000" w:rsidP="006B31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04C1695"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faz dos Clusters do AKS sem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7BF5FE"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277097">
        <w:tc>
          <w:tcPr>
            <w:tcW w:w="5400" w:type="dxa"/>
          </w:tcPr>
          <w:p w14:paraId="7A639EFD" w14:textId="5398B837" w:rsidR="007E7727" w:rsidRPr="00EF7CF9" w:rsidRDefault="007E7727" w:rsidP="00F01ED6">
            <w:pPr>
              <w:pStyle w:val="ProductList-OfferingBody"/>
              <w:jc w:val="center"/>
            </w:pPr>
            <w:r>
              <w:t>&lt; 99,9%</w:t>
            </w:r>
          </w:p>
        </w:tc>
        <w:tc>
          <w:tcPr>
            <w:tcW w:w="5400" w:type="dxa"/>
          </w:tcPr>
          <w:p w14:paraId="5AD73D01" w14:textId="77777777" w:rsidR="007E7727" w:rsidRPr="00EF7CF9" w:rsidRDefault="007E7727" w:rsidP="00F01ED6">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F01ED6">
            <w:pPr>
              <w:pStyle w:val="ProductList-OfferingBody"/>
              <w:jc w:val="center"/>
            </w:pPr>
            <w:r>
              <w:t>&lt; 99%</w:t>
            </w:r>
          </w:p>
        </w:tc>
        <w:tc>
          <w:tcPr>
            <w:tcW w:w="5400" w:type="dxa"/>
          </w:tcPr>
          <w:p w14:paraId="6DDB9075" w14:textId="77777777" w:rsidR="007E7727" w:rsidRPr="00EF7CF9" w:rsidRDefault="007E7727" w:rsidP="00F01ED6">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F01ED6">
            <w:pPr>
              <w:pStyle w:val="ProductList-OfferingBody"/>
              <w:jc w:val="center"/>
            </w:pPr>
            <w:r>
              <w:t>&lt; 95%</w:t>
            </w:r>
          </w:p>
        </w:tc>
        <w:tc>
          <w:tcPr>
            <w:tcW w:w="5400" w:type="dxa"/>
          </w:tcPr>
          <w:p w14:paraId="1D5703B2" w14:textId="77777777" w:rsidR="007E7727" w:rsidRPr="00EF7CF9" w:rsidRDefault="007E7727" w:rsidP="00F01ED6">
            <w:pPr>
              <w:pStyle w:val="ProductList-OfferingBody"/>
              <w:jc w:val="center"/>
            </w:pPr>
            <w:r>
              <w:t>100%</w:t>
            </w:r>
          </w:p>
        </w:tc>
      </w:tr>
    </w:tbl>
    <w:bookmarkStart w:id="295" w:name="_Toc5018197"/>
    <w:bookmarkStart w:id="296" w:name="_Toc52348933"/>
    <w:bookmarkStart w:id="297" w:name="_Toc510793664"/>
    <w:bookmarkStart w:id="298" w:name="_Toc484160665"/>
    <w:bookmarkEnd w:id="269"/>
    <w:p w14:paraId="698835A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B6B4E0B" w14:textId="77777777" w:rsidR="00A21ABA" w:rsidRPr="006F6DEB" w:rsidRDefault="00A21ABA" w:rsidP="006F6DEB">
      <w:pPr>
        <w:pStyle w:val="ProductList-Offering2Heading"/>
        <w:tabs>
          <w:tab w:val="clear" w:pos="360"/>
          <w:tab w:val="clear" w:pos="720"/>
          <w:tab w:val="clear" w:pos="1080"/>
        </w:tabs>
        <w:outlineLvl w:val="2"/>
      </w:pPr>
      <w:bookmarkStart w:id="299" w:name="_Toc214456832"/>
      <w:r w:rsidRPr="006F6DEB">
        <w:t>Clusters Automáticos do Serviço Azure Kubernetes (AKS)</w:t>
      </w:r>
      <w:bookmarkEnd w:id="299"/>
    </w:p>
    <w:p w14:paraId="5E9DE438" w14:textId="77777777" w:rsidR="00A21ABA" w:rsidRPr="000F64F6" w:rsidRDefault="00A21ABA" w:rsidP="00A21A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Pr>
          <w:rFonts w:ascii="Calibri" w:eastAsia="Calibri" w:hAnsi="Calibri" w:cs="Arial"/>
          <w:sz w:val="18"/>
        </w:rPr>
        <w:t>:</w:t>
      </w:r>
    </w:p>
    <w:p w14:paraId="6A492BA8"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Cluster Automático do Serviço Azure Kubernetes (AKS)</w:t>
      </w:r>
      <w:r>
        <w:rPr>
          <w:rFonts w:ascii="Calibri" w:eastAsia="Calibri" w:hAnsi="Calibri" w:cs="Calibri"/>
          <w:sz w:val="18"/>
          <w:szCs w:val="18"/>
        </w:rPr>
        <w:t>” ou “Cluster Automático” Um cluster do Serviço Azure Kubernetes do tipo “Automático” que inclui:</w:t>
      </w:r>
    </w:p>
    <w:p w14:paraId="141CBAC7" w14:textId="77777777" w:rsidR="00A21ABA" w:rsidRPr="000F64F6" w:rsidRDefault="00A21ABA" w:rsidP="00A21ABA">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Nós do plano de controlo que fornecem os principais serviços Azure Kubernetes e a orquestração das cargas de trabalho de aplicação; e</w:t>
      </w:r>
    </w:p>
    <w:p w14:paraId="2D36299A" w14:textId="77777777" w:rsidR="00A21ABA" w:rsidRPr="000F64F6" w:rsidRDefault="00A21ABA" w:rsidP="00A21ABA">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alocação dinâmica de recursos de infraestrutura com base nos requisitos de carga de trabalho.</w:t>
      </w:r>
    </w:p>
    <w:p w14:paraId="11E6D376" w14:textId="77777777" w:rsidR="00A21ABA" w:rsidRPr="000F64F6" w:rsidRDefault="00A21ABA" w:rsidP="00A21ABA">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Servidor de API de Kubernetes</w:t>
      </w:r>
      <w:r>
        <w:rPr>
          <w:rFonts w:ascii="Calibri" w:eastAsia="Calibri" w:hAnsi="Calibri" w:cs="Calibri"/>
          <w:sz w:val="18"/>
          <w:szCs w:val="18"/>
        </w:rPr>
        <w:t>” Quando é criado um Cluster Automático, é criado e configurado automaticamente um plano de controlo. O plano de controlo inclui o Servidor da API que expõe a API do Kubernetes subjacente.</w:t>
      </w:r>
    </w:p>
    <w:p w14:paraId="5F4B1987" w14:textId="77777777" w:rsidR="00A21ABA" w:rsidRPr="000F64F6" w:rsidRDefault="00A21ABA" w:rsidP="00A21ABA">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Zona de Disponibilidade</w:t>
      </w:r>
      <w:r>
        <w:rPr>
          <w:rFonts w:ascii="Calibri" w:eastAsia="Calibri" w:hAnsi="Calibri" w:cs="Calibri"/>
          <w:sz w:val="18"/>
          <w:szCs w:val="18"/>
        </w:rPr>
        <w:t>” designa uma área isolada de falhas numa região do Azure que providencia alimentação, refrigeração e rede redundantes.</w:t>
      </w:r>
    </w:p>
    <w:p w14:paraId="5F1F2AB4" w14:textId="77777777" w:rsidR="00A21ABA" w:rsidRPr="000F64F6" w:rsidRDefault="00A21ABA" w:rsidP="00A21ABA">
      <w:pPr>
        <w:spacing w:after="0"/>
        <w:rPr>
          <w:rFonts w:ascii="Calibri" w:eastAsia="Calibri" w:hAnsi="Calibri" w:cs="Arial"/>
        </w:rPr>
      </w:pPr>
      <w:r>
        <w:rPr>
          <w:rFonts w:ascii="Calibri" w:eastAsia="Calibri" w:hAnsi="Calibri" w:cs="Calibri"/>
          <w:b/>
          <w:bCs/>
          <w:color w:val="00188F"/>
          <w:sz w:val="18"/>
          <w:szCs w:val="18"/>
        </w:rPr>
        <w:t>Cálculo de Tempo de Atividade e Níveis de Serviço para Clusters Automáticos que utilizam Zonas de Disponibilidade</w:t>
      </w:r>
    </w:p>
    <w:p w14:paraId="49B6335A" w14:textId="77777777" w:rsidR="00A21ABA" w:rsidRPr="000F64F6" w:rsidRDefault="00A21ABA" w:rsidP="00A21ABA">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Máximo de Minutos Disponíveis</w:t>
      </w:r>
      <w:r>
        <w:rPr>
          <w:rFonts w:ascii="Calibri" w:eastAsia="Calibri" w:hAnsi="Calibri" w:cs="Calibri"/>
          <w:sz w:val="18"/>
          <w:szCs w:val="18"/>
        </w:rPr>
        <w:t>” designa o total de minutos acumulados de um Cluster Automático ativado para a Zona de Disponibilidade até o momento em que o Cliente iniciou uma ação para parar ou eliminar o cluster durante um Período Aplicável.</w:t>
      </w:r>
    </w:p>
    <w:p w14:paraId="6DDCD61D"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Tempo de Inatividade</w:t>
      </w:r>
      <w:r>
        <w:rPr>
          <w:rFonts w:ascii="Calibri" w:eastAsia="Calibri" w:hAnsi="Calibri" w:cs="Calibri"/>
          <w:sz w:val="18"/>
          <w:szCs w:val="18"/>
        </w:rPr>
        <w:t>” designa o total de minutos acumulados que fazem parte do Máximo de Minutos Disponíveis sem conectividade ao Servidor de API de Kubernetes a partir do Cluster Automático ativado para a Zona de Disponibilidade aprovisionada na região.</w:t>
      </w:r>
    </w:p>
    <w:p w14:paraId="4C0F0F3F" w14:textId="77777777" w:rsidR="00A21ABA" w:rsidRPr="000F64F6" w:rsidRDefault="00A21ABA" w:rsidP="00A21ABA">
      <w:pPr>
        <w:spacing w:after="0"/>
        <w:rPr>
          <w:rFonts w:ascii="Calibri" w:eastAsia="Calibri" w:hAnsi="Calibri" w:cs="Calibri"/>
          <w:sz w:val="18"/>
          <w:szCs w:val="18"/>
        </w:rPr>
      </w:pPr>
      <w:r w:rsidRPr="004E2C64">
        <w:rPr>
          <w:rFonts w:ascii="Calibri" w:eastAsia="Calibri" w:hAnsi="Calibri" w:cs="Calibri"/>
          <w:sz w:val="18"/>
          <w:szCs w:val="18"/>
        </w:rPr>
        <w:t>A</w:t>
      </w:r>
      <w:r>
        <w:t xml:space="preserve"> </w:t>
      </w:r>
      <w:r>
        <w:rPr>
          <w:rFonts w:ascii="Calibri" w:eastAsia="Calibri" w:hAnsi="Calibri" w:cs="Calibri"/>
          <w:sz w:val="18"/>
          <w:szCs w:val="18"/>
        </w:rPr>
        <w:t>“</w:t>
      </w:r>
      <w:r>
        <w:rPr>
          <w:rFonts w:ascii="Calibri" w:eastAsia="Calibri" w:hAnsi="Calibri" w:cs="Calibri"/>
          <w:b/>
          <w:bCs/>
          <w:color w:val="00188F"/>
          <w:sz w:val="18"/>
          <w:szCs w:val="18"/>
        </w:rPr>
        <w:t>Percentagem de Tempo de Atividade</w:t>
      </w:r>
      <w:r>
        <w:rPr>
          <w:rFonts w:ascii="Calibri" w:eastAsia="Calibri" w:hAnsi="Calibri" w:cs="Calibri"/>
          <w:sz w:val="18"/>
          <w:szCs w:val="18"/>
        </w:rPr>
        <w:t>” para os Clusters Automático ativados para a Zona de Disponibilidade é calculada como o Máximo de Minutos Disponíveis menos o Tempo de Inatividade a dividir pelo Máximo de Minutos Disponíveis num Período Aplicável para uma determinada subscrição do Microsoft Azure. A Percentagem de Tempo de Atividade é representada pela seguinte fórmula:</w:t>
      </w:r>
    </w:p>
    <w:p w14:paraId="78C8AF56" w14:textId="77777777" w:rsidR="00A21ABA" w:rsidRDefault="00A21ABA" w:rsidP="006F6DEB">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 de Minutes – Tempo de Inatividade)/Total de Minutos * 100</w:t>
      </w:r>
    </w:p>
    <w:p w14:paraId="45FB7313" w14:textId="77777777" w:rsidR="00A21ABA" w:rsidRPr="000F64F6" w:rsidRDefault="00A21ABA" w:rsidP="00A21ABA">
      <w:pPr>
        <w:spacing w:after="0"/>
        <w:rPr>
          <w:rFonts w:ascii="Calibri" w:eastAsia="Calibri" w:hAnsi="Calibri" w:cs="Arial"/>
        </w:rPr>
      </w:pPr>
      <w:r>
        <w:rPr>
          <w:rFonts w:ascii="Calibri" w:eastAsia="Calibri" w:hAnsi="Calibri" w:cs="Calibri"/>
          <w:b/>
          <w:bCs/>
          <w:color w:val="00188F"/>
          <w:sz w:val="18"/>
          <w:szCs w:val="18"/>
        </w:rPr>
        <w:t>Os seguintes Níveis de Serviço e Créditos de Serviço são aplicáveis à utilização que o Cliente faz dos Clusters Automáticos que têm Zonas de Disponibilidade ativadas na região:</w:t>
      </w:r>
    </w:p>
    <w:p w14:paraId="5A7A6B0E" w14:textId="77777777" w:rsidR="00A21ABA" w:rsidRPr="000F64F6" w:rsidRDefault="00A21ABA" w:rsidP="00A21ABA">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Percentagem de Tempo de Atividade da API de Kubernetes, Crédito de Serviço</w:t>
      </w:r>
    </w:p>
    <w:tbl>
      <w:tblPr>
        <w:tblW w:w="10800" w:type="dxa"/>
        <w:tblLayout w:type="fixed"/>
        <w:tblLook w:val="04A0" w:firstRow="1" w:lastRow="0" w:firstColumn="1" w:lastColumn="0" w:noHBand="0" w:noVBand="1"/>
      </w:tblPr>
      <w:tblGrid>
        <w:gridCol w:w="5400"/>
        <w:gridCol w:w="5400"/>
      </w:tblGrid>
      <w:tr w:rsidR="00A21ABA" w:rsidRPr="000F64F6" w14:paraId="02DAA493"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569D90C"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Percentagem de Tempo de Atividade</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8B8567B"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Crédito de Serviço</w:t>
            </w:r>
          </w:p>
        </w:tc>
      </w:tr>
      <w:tr w:rsidR="00A21ABA" w:rsidRPr="000F64F6" w14:paraId="70864487"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E8407F"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FEF83F"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A21ABA" w:rsidRPr="000F64F6" w14:paraId="6C1D1763"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FFDF5C"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28B10E"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A21ABA" w:rsidRPr="000F64F6" w14:paraId="20C50568" w14:textId="77777777" w:rsidTr="00C709A0">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3171EBC"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902F02F"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416D2173" w14:textId="77777777" w:rsidR="00A21ABA" w:rsidRPr="000F64F6" w:rsidRDefault="00A21ABA" w:rsidP="00A21ABA">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Cálculo de Prontidão e Níveis de Serviço para Clusters Automáticos</w:t>
      </w:r>
    </w:p>
    <w:p w14:paraId="12A91B3C"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Honorários dos Serviços Aplicáveis</w:t>
      </w:r>
      <w:r>
        <w:rPr>
          <w:rFonts w:ascii="Calibri" w:eastAsia="Calibri" w:hAnsi="Calibri" w:cs="Calibri"/>
          <w:sz w:val="18"/>
          <w:szCs w:val="18"/>
        </w:rPr>
        <w:t>” designa o total dos honorários dos serviços por hora adicionais incorridas para máquinas virtuais no Cluster Automático durante o Período Aplicável para o qual é devido um Crédito de Serviço, excluindo quaisquer encargos pelas próprias máquinas virtuais.</w:t>
      </w:r>
    </w:p>
    <w:p w14:paraId="7C869A32"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Pod Aplicável</w:t>
      </w:r>
      <w:r>
        <w:rPr>
          <w:rFonts w:ascii="Calibri" w:eastAsia="Calibri" w:hAnsi="Calibri" w:cs="Calibri"/>
          <w:sz w:val="18"/>
          <w:szCs w:val="18"/>
        </w:rPr>
        <w:t>” designa um pod que não monta volumes com origens que não sejam segredos, mapas de configuração, APIs descendentes e emptyDir, e não requer nós que incluam Windows, GPU, Confidencial ou outras SKU especiais.</w:t>
      </w:r>
    </w:p>
    <w:p w14:paraId="52D6625B"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Janela Excluída</w:t>
      </w:r>
      <w:r>
        <w:rPr>
          <w:rFonts w:ascii="Calibri" w:eastAsia="Calibri" w:hAnsi="Calibri" w:cs="Calibri"/>
          <w:sz w:val="18"/>
          <w:szCs w:val="18"/>
        </w:rPr>
        <w:t>” designa qualquer intervalo de 5 minutos durante o qual operações de média a grande escala (envolvendo 100 ou mais nós) são iniciadas ou são observados erros de quota/subscrição no Cluster Automático.</w:t>
      </w:r>
    </w:p>
    <w:p w14:paraId="05881002"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Total de Operações de Pod</w:t>
      </w:r>
      <w:r>
        <w:rPr>
          <w:rFonts w:ascii="Calibri" w:eastAsia="Calibri" w:hAnsi="Calibri" w:cs="Calibri"/>
          <w:sz w:val="18"/>
          <w:szCs w:val="18"/>
        </w:rPr>
        <w:t>” designa o número total de operações de criação do Pod Aplicável iniciadas pelo cliente fora das Janelas Excluídas durante um Período Aplicável.</w:t>
      </w:r>
    </w:p>
    <w:p w14:paraId="4FDAD320"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Operações de Pod Atrasadas</w:t>
      </w:r>
      <w:r>
        <w:rPr>
          <w:rFonts w:ascii="Calibri" w:eastAsia="Calibri" w:hAnsi="Calibri" w:cs="Calibri"/>
          <w:sz w:val="18"/>
          <w:szCs w:val="18"/>
        </w:rPr>
        <w:t>” designa o número total de operações de criação de Pods Aplicáveis em que os contentores de um Pod Aplicável não são reportados como iniciados no prazo de cinco minutos, medido a partir do momento da criação do objeto pod, excluindo o tempo necessário para a extração de imagens e o runtime do contentor init.</w:t>
      </w:r>
    </w:p>
    <w:p w14:paraId="18E24785" w14:textId="77777777" w:rsidR="00A21ABA" w:rsidRPr="000F64F6" w:rsidRDefault="00A21ABA" w:rsidP="00A21ABA">
      <w:pPr>
        <w:spacing w:after="0"/>
        <w:rPr>
          <w:rFonts w:ascii="Calibri" w:eastAsia="Calibri" w:hAnsi="Calibri" w:cs="Calibri"/>
          <w:sz w:val="18"/>
          <w:szCs w:val="18"/>
        </w:rPr>
      </w:pPr>
      <w:r w:rsidRPr="00982260">
        <w:rPr>
          <w:rFonts w:ascii="Calibri" w:eastAsia="Calibri" w:hAnsi="Calibri" w:cs="Calibri"/>
          <w:sz w:val="18"/>
          <w:szCs w:val="18"/>
        </w:rPr>
        <w:lastRenderedPageBreak/>
        <w:t>A</w:t>
      </w:r>
      <w:r>
        <w:t xml:space="preserve"> </w:t>
      </w:r>
      <w:r>
        <w:rPr>
          <w:rFonts w:ascii="Calibri" w:eastAsia="Calibri" w:hAnsi="Calibri" w:cs="Calibri"/>
          <w:sz w:val="18"/>
          <w:szCs w:val="18"/>
        </w:rPr>
        <w:t>“</w:t>
      </w:r>
      <w:r>
        <w:rPr>
          <w:rFonts w:ascii="Calibri" w:eastAsia="Calibri" w:hAnsi="Calibri" w:cs="Calibri"/>
          <w:b/>
          <w:bCs/>
          <w:color w:val="00188F"/>
          <w:sz w:val="18"/>
          <w:szCs w:val="18"/>
        </w:rPr>
        <w:t>Percentagem de Prontidão</w:t>
      </w:r>
      <w:r>
        <w:rPr>
          <w:rFonts w:ascii="Calibri" w:eastAsia="Calibri" w:hAnsi="Calibri" w:cs="Calibri"/>
          <w:sz w:val="18"/>
          <w:szCs w:val="18"/>
        </w:rPr>
        <w:t xml:space="preserve">” para Clusters Automáticos é calculada como as Operações Totais de Pod menos as Operações Atrasadas de Pod dividida pelas Operações Totais de Pod num Período Aplicável para uma determinada subscrição do Microsoft Azure. A Percentagem de Prontidão é representada pela seguinte fórmula: </w:t>
      </w:r>
    </w:p>
    <w:p w14:paraId="3BDE8B70" w14:textId="77777777" w:rsidR="00A21ABA" w:rsidRPr="000F64F6" w:rsidRDefault="00A21ABA" w:rsidP="00A21ABA">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 de Operações de Pod – Operações de Pod Atrasadas)/(Total de Operações de Pod) x 100</w:t>
      </w:r>
    </w:p>
    <w:p w14:paraId="63982486" w14:textId="77777777" w:rsidR="00A21ABA" w:rsidRPr="000F64F6" w:rsidRDefault="00A21ABA" w:rsidP="00A21ABA">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Percentagem de Prontidão, Crédito de Serviço</w:t>
      </w:r>
    </w:p>
    <w:tbl>
      <w:tblPr>
        <w:tblW w:w="10800" w:type="dxa"/>
        <w:tblLayout w:type="fixed"/>
        <w:tblLook w:val="04A0" w:firstRow="1" w:lastRow="0" w:firstColumn="1" w:lastColumn="0" w:noHBand="0" w:noVBand="1"/>
      </w:tblPr>
      <w:tblGrid>
        <w:gridCol w:w="5400"/>
        <w:gridCol w:w="5400"/>
      </w:tblGrid>
      <w:tr w:rsidR="00A21ABA" w:rsidRPr="000F64F6" w14:paraId="1C88E35A"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EBE048A" w14:textId="77777777" w:rsidR="00A21ABA" w:rsidRPr="000F64F6" w:rsidRDefault="00A21ABA" w:rsidP="00C709A0">
            <w:pPr>
              <w:keepNext/>
              <w:keepLines/>
              <w:spacing w:before="20" w:after="20"/>
              <w:ind w:left="-14" w:right="-101"/>
              <w:jc w:val="center"/>
              <w:rPr>
                <w:rFonts w:ascii="Calibri" w:eastAsia="Calibri" w:hAnsi="Calibri" w:cs="Arial"/>
              </w:rPr>
            </w:pPr>
            <w:r>
              <w:rPr>
                <w:rFonts w:ascii="Calibri" w:eastAsia="Calibri" w:hAnsi="Calibri" w:cs="Calibri"/>
                <w:color w:val="FFFFFF"/>
                <w:sz w:val="16"/>
                <w:szCs w:val="16"/>
              </w:rPr>
              <w:t>Percentagem de Prontidão</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AC1167F" w14:textId="77777777" w:rsidR="00A21ABA" w:rsidRPr="000F64F6" w:rsidRDefault="00A21ABA" w:rsidP="00C709A0">
            <w:pPr>
              <w:keepNext/>
              <w:keepLines/>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Crédito de Serviço</w:t>
            </w:r>
          </w:p>
        </w:tc>
      </w:tr>
      <w:tr w:rsidR="00A21ABA" w:rsidRPr="000F64F6" w14:paraId="3B4D049C"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A86A5AC" w14:textId="77777777" w:rsidR="00A21ABA" w:rsidRPr="000F64F6" w:rsidRDefault="00A21ABA" w:rsidP="00C709A0">
            <w:pPr>
              <w:keepNext/>
              <w:keepLines/>
              <w:spacing w:before="20" w:after="20"/>
              <w:ind w:left="-14" w:right="-101"/>
              <w:jc w:val="center"/>
              <w:rPr>
                <w:rFonts w:ascii="Calibri" w:eastAsia="Calibri" w:hAnsi="Calibri" w:cs="Arial"/>
              </w:rPr>
            </w:pPr>
            <w:r>
              <w:rPr>
                <w:rFonts w:ascii="Calibri" w:eastAsia="Calibri" w:hAnsi="Calibri" w:cs="Calibri"/>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A8E973F" w14:textId="77777777" w:rsidR="00A21ABA" w:rsidRPr="000F64F6" w:rsidRDefault="00A21ABA" w:rsidP="00C709A0">
            <w:pPr>
              <w:keepNext/>
              <w:keepLines/>
              <w:spacing w:before="20" w:after="20"/>
              <w:ind w:left="-14" w:right="-101"/>
              <w:jc w:val="center"/>
              <w:rPr>
                <w:rFonts w:ascii="Calibri" w:eastAsia="Calibri" w:hAnsi="Calibri" w:cs="Arial"/>
              </w:rPr>
            </w:pPr>
            <w:r>
              <w:rPr>
                <w:rFonts w:ascii="Calibri" w:eastAsia="Calibri" w:hAnsi="Calibri" w:cs="Calibri"/>
                <w:sz w:val="16"/>
                <w:szCs w:val="16"/>
              </w:rPr>
              <w:t>10%</w:t>
            </w:r>
          </w:p>
        </w:tc>
      </w:tr>
      <w:tr w:rsidR="00A21ABA" w:rsidRPr="000F64F6" w14:paraId="62B3CE9C"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4B69B68"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C74AA3E"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A21ABA" w:rsidRPr="000F64F6" w14:paraId="74D11323" w14:textId="77777777" w:rsidTr="00C709A0">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70A1875"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958F58E" w14:textId="77777777" w:rsidR="00A21ABA" w:rsidRPr="000F64F6" w:rsidRDefault="00A21ABA" w:rsidP="00C709A0">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50B15DC2" w14:textId="77777777" w:rsidR="006F6DEB" w:rsidRPr="00EF7CF9" w:rsidRDefault="006F6DEB" w:rsidP="006F6DE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D97676" w14:textId="4832E4CE" w:rsidR="004005AF" w:rsidRPr="00EF7CF9" w:rsidRDefault="004005AF" w:rsidP="00F01ED6">
      <w:pPr>
        <w:pStyle w:val="ProductList-Offering2Heading"/>
        <w:tabs>
          <w:tab w:val="clear" w:pos="360"/>
          <w:tab w:val="clear" w:pos="720"/>
          <w:tab w:val="clear" w:pos="1080"/>
        </w:tabs>
        <w:outlineLvl w:val="2"/>
      </w:pPr>
      <w:bookmarkStart w:id="300" w:name="_Toc214456833"/>
      <w:r>
        <w:t>Azure Lab Services</w:t>
      </w:r>
      <w:bookmarkEnd w:id="295"/>
      <w:bookmarkEnd w:id="296"/>
      <w:bookmarkEnd w:id="300"/>
    </w:p>
    <w:p w14:paraId="6AA23733" w14:textId="77777777" w:rsidR="004005AF" w:rsidRPr="00EF7CF9" w:rsidRDefault="004005AF" w:rsidP="00F01ED6">
      <w:pPr>
        <w:pStyle w:val="ProductList-Body"/>
      </w:pPr>
      <w:r>
        <w:rPr>
          <w:b/>
          <w:color w:val="00188F"/>
        </w:rPr>
        <w:t>Definições Adicionais</w:t>
      </w:r>
      <w:r w:rsidRPr="00473DD3">
        <w:rPr>
          <w:b/>
          <w:color w:val="00188F"/>
        </w:rPr>
        <w:t>:</w:t>
      </w:r>
    </w:p>
    <w:p w14:paraId="6C2C916A" w14:textId="316ADECD"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Virtual(is) de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aprovisionada dentro de um laboratório nos Azure Lab Services.</w:t>
      </w:r>
    </w:p>
    <w:p w14:paraId="04D39350" w14:textId="5194A615"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da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os outros endereços IP que utilizam os protocolos de rede TCP ou UDP em que a Máquina Virtual de Laboratório está configurada para o tráfego permitido. Os endereços IP podem ser endereços IP na mesma rede virtual que a Máquina Virtual de Laboratório ou endereços IP encaminháveis públicos.</w:t>
      </w:r>
    </w:p>
    <w:p w14:paraId="43C704A8" w14:textId="77777777" w:rsidR="004005AF" w:rsidRDefault="004005AF" w:rsidP="00F01ED6">
      <w:pPr>
        <w:spacing w:after="0" w:line="240" w:lineRule="auto"/>
        <w:rPr>
          <w:sz w:val="18"/>
        </w:rPr>
      </w:pPr>
    </w:p>
    <w:p w14:paraId="450A7B65" w14:textId="10AC90AD"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os Azure Lab Services</w:t>
      </w:r>
    </w:p>
    <w:p w14:paraId="3E2CADC7" w14:textId="18E6AC71" w:rsidR="004005AF" w:rsidRDefault="00380305" w:rsidP="00F01ED6">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designa o número total de minutos num determinado Período Aplicável.</w:t>
      </w:r>
    </w:p>
    <w:p w14:paraId="53138E33" w14:textId="3C82072C"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é o total de minutos acumulados que fazem parte dos Minutos no Período Aplicável sem Conectividade da</w:t>
      </w:r>
      <w:r w:rsidR="006A17CA">
        <w:rPr>
          <w:sz w:val="18"/>
        </w:rPr>
        <w:t> </w:t>
      </w:r>
      <w:r w:rsidR="004005AF">
        <w:rPr>
          <w:sz w:val="18"/>
        </w:rPr>
        <w:t>Máquina Virtual de Laboratório.</w:t>
      </w:r>
    </w:p>
    <w:p w14:paraId="30430B60" w14:textId="076ACAC4" w:rsidR="004005AF" w:rsidRDefault="00380305" w:rsidP="00F01ED6">
      <w:pPr>
        <w:pStyle w:val="ProductList-Body"/>
      </w:pPr>
      <w:r w:rsidRPr="00CB7596">
        <w:t>“</w:t>
      </w:r>
      <w:r w:rsidR="004005AF">
        <w:rPr>
          <w:b/>
          <w:color w:val="00188F"/>
        </w:rPr>
        <w:t>Percentagem de Período de Disponibilidade</w:t>
      </w:r>
      <w:r>
        <w:t>”</w:t>
      </w:r>
      <w:r w:rsidR="004005AF">
        <w:t xml:space="preserve"> é calculada pela percentagem de minutos num Período Aplicável para uma determinada subscrição Microsoft Azure, em que qualquer Máquina Virtual de Laboratório teve Período de Indisponibilidade.</w:t>
      </w:r>
    </w:p>
    <w:p w14:paraId="17183B58" w14:textId="10C81411" w:rsidR="004005AF" w:rsidRPr="00EF7CF9" w:rsidRDefault="004005AF" w:rsidP="00F01ED6">
      <w:pPr>
        <w:pStyle w:val="ProductList-Body"/>
      </w:pPr>
      <w:r>
        <w:t xml:space="preserve">A Percentagem de Período de Disponibilidade é calculada através da seguinte fórmula: </w:t>
      </w:r>
    </w:p>
    <w:p w14:paraId="551A791A" w14:textId="08F36FDD" w:rsidR="004005AF" w:rsidRPr="00A2017D" w:rsidRDefault="00000000" w:rsidP="005D1414">
      <w:pPr>
        <w:pStyle w:val="ListParagraph"/>
        <w:spacing w:before="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F01ED6">
      <w:pPr>
        <w:pStyle w:val="ProductList-Body"/>
        <w:keepNext/>
        <w:keepLines/>
      </w:pPr>
      <w:r>
        <w:rPr>
          <w:b/>
          <w:color w:val="00188F"/>
        </w:rPr>
        <w:t>Os seguintes Níveis de Serviço e Créditos de Serviço são aplicáveis à utilização que o Cliente faz das Máquinas Virtuais de Laboratório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F01ED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2E08530B" w14:textId="77777777" w:rsidR="004005AF" w:rsidRPr="00EF7CF9" w:rsidRDefault="004005AF" w:rsidP="00F01ED6">
            <w:pPr>
              <w:pStyle w:val="ProductList-OfferingBody"/>
              <w:keepNext/>
              <w:keepLines/>
              <w:jc w:val="center"/>
              <w:rPr>
                <w:color w:val="FFFFFF" w:themeColor="background1"/>
              </w:rPr>
            </w:pPr>
            <w:r>
              <w:rPr>
                <w:color w:val="FFFFFF" w:themeColor="background1"/>
              </w:rPr>
              <w:t>Crédito de Serviço</w:t>
            </w:r>
          </w:p>
        </w:tc>
      </w:tr>
      <w:tr w:rsidR="004005AF" w:rsidRPr="00B44CF9" w14:paraId="4B7BD564" w14:textId="77777777" w:rsidTr="00277097">
        <w:tc>
          <w:tcPr>
            <w:tcW w:w="5400" w:type="dxa"/>
          </w:tcPr>
          <w:p w14:paraId="4918FF95" w14:textId="77777777" w:rsidR="004005AF" w:rsidRPr="00EF7CF9" w:rsidRDefault="004005AF" w:rsidP="00F01ED6">
            <w:pPr>
              <w:pStyle w:val="ProductList-OfferingBody"/>
              <w:keepNext/>
              <w:keepLines/>
              <w:jc w:val="center"/>
            </w:pPr>
            <w:r>
              <w:t>&lt; 99,9%</w:t>
            </w:r>
          </w:p>
        </w:tc>
        <w:tc>
          <w:tcPr>
            <w:tcW w:w="5400" w:type="dxa"/>
          </w:tcPr>
          <w:p w14:paraId="5F11DDEE" w14:textId="77777777" w:rsidR="004005AF" w:rsidRPr="00EF7CF9" w:rsidRDefault="004005AF" w:rsidP="00F01ED6">
            <w:pPr>
              <w:pStyle w:val="ProductList-OfferingBody"/>
              <w:keepNext/>
              <w:keepLines/>
              <w:jc w:val="center"/>
            </w:pPr>
            <w:r>
              <w:t>10%</w:t>
            </w:r>
          </w:p>
        </w:tc>
      </w:tr>
      <w:tr w:rsidR="004005AF" w:rsidRPr="00B44CF9" w14:paraId="3EA53C01" w14:textId="77777777" w:rsidTr="00277097">
        <w:tc>
          <w:tcPr>
            <w:tcW w:w="5400" w:type="dxa"/>
          </w:tcPr>
          <w:p w14:paraId="68B646AD" w14:textId="77777777" w:rsidR="004005AF" w:rsidRPr="00EF7CF9" w:rsidRDefault="004005AF" w:rsidP="00F01ED6">
            <w:pPr>
              <w:pStyle w:val="ProductList-OfferingBody"/>
              <w:keepNext/>
              <w:keepLines/>
              <w:jc w:val="center"/>
            </w:pPr>
            <w:r>
              <w:t>&lt; 99%</w:t>
            </w:r>
          </w:p>
        </w:tc>
        <w:tc>
          <w:tcPr>
            <w:tcW w:w="5400" w:type="dxa"/>
          </w:tcPr>
          <w:p w14:paraId="33C24386" w14:textId="77777777" w:rsidR="004005AF" w:rsidRPr="00EF7CF9" w:rsidRDefault="004005AF" w:rsidP="00F01ED6">
            <w:pPr>
              <w:pStyle w:val="ProductList-OfferingBody"/>
              <w:keepNext/>
              <w:keepLines/>
              <w:jc w:val="center"/>
            </w:pPr>
            <w:r>
              <w:t>25%</w:t>
            </w:r>
          </w:p>
        </w:tc>
      </w:tr>
    </w:tbl>
    <w:bookmarkStart w:id="301" w:name="_Toc52348934"/>
    <w:p w14:paraId="51FC73F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C37CB2F" w14:textId="4D67CDB5" w:rsidR="004005AF" w:rsidRDefault="004005AF" w:rsidP="00F01ED6">
      <w:pPr>
        <w:pStyle w:val="ProductList-Offering2Heading"/>
        <w:tabs>
          <w:tab w:val="clear" w:pos="360"/>
          <w:tab w:val="clear" w:pos="720"/>
          <w:tab w:val="clear" w:pos="1080"/>
        </w:tabs>
        <w:outlineLvl w:val="2"/>
      </w:pPr>
      <w:bookmarkStart w:id="302" w:name="_Toc214456834"/>
      <w:r>
        <w:t>Balanceador de Carga do Azure</w:t>
      </w:r>
      <w:bookmarkEnd w:id="297"/>
      <w:bookmarkEnd w:id="301"/>
      <w:bookmarkEnd w:id="302"/>
    </w:p>
    <w:p w14:paraId="137AB573" w14:textId="77777777" w:rsidR="004005AF" w:rsidRPr="00911548" w:rsidRDefault="004005AF" w:rsidP="00F01ED6">
      <w:pPr>
        <w:pStyle w:val="ProductList-Body"/>
      </w:pPr>
      <w:r>
        <w:rPr>
          <w:b/>
          <w:color w:val="00188F"/>
        </w:rPr>
        <w:t>Definições Adicionais</w:t>
      </w:r>
      <w:r w:rsidRPr="00473DD3">
        <w:rPr>
          <w:b/>
          <w:color w:val="00188F"/>
        </w:rPr>
        <w:t>:</w:t>
      </w:r>
    </w:p>
    <w:p w14:paraId="658FBB6A" w14:textId="74E8B8B6" w:rsidR="004005AF" w:rsidRPr="00EB0868" w:rsidRDefault="00380305" w:rsidP="00F01ED6">
      <w:pPr>
        <w:spacing w:after="0" w:line="240" w:lineRule="auto"/>
        <w:rPr>
          <w:sz w:val="18"/>
        </w:rPr>
      </w:pPr>
      <w:r>
        <w:rPr>
          <w:sz w:val="18"/>
        </w:rPr>
        <w:t>“</w:t>
      </w:r>
      <w:r w:rsidR="004005AF">
        <w:rPr>
          <w:b/>
          <w:color w:val="00188F"/>
          <w:sz w:val="18"/>
        </w:rPr>
        <w:t>Ponto Final com Balanceamento de Carga</w:t>
      </w:r>
      <w:r>
        <w:rPr>
          <w:sz w:val="18"/>
        </w:rPr>
        <w:t>”</w:t>
      </w:r>
      <w:r w:rsidR="004005AF">
        <w:rPr>
          <w:sz w:val="18"/>
        </w:rPr>
        <w:t xml:space="preserve"> designa um endereço IP e a definição da porta de transporte IP associada.</w:t>
      </w:r>
    </w:p>
    <w:p w14:paraId="5615CC04" w14:textId="3B6A7F45" w:rsidR="004005AF" w:rsidRPr="00EB0868" w:rsidRDefault="00380305" w:rsidP="00F01ED6">
      <w:pPr>
        <w:spacing w:after="0" w:line="240" w:lineRule="auto"/>
        <w:rPr>
          <w:sz w:val="18"/>
        </w:rPr>
      </w:pPr>
      <w:r>
        <w:rPr>
          <w:sz w:val="18"/>
        </w:rPr>
        <w:t>“</w:t>
      </w:r>
      <w:r w:rsidR="004005AF">
        <w:rPr>
          <w:b/>
          <w:color w:val="00188F"/>
          <w:sz w:val="18"/>
        </w:rPr>
        <w:t>Máquina Virtual em Bom Estado de Funcionamento</w:t>
      </w:r>
      <w:r>
        <w:rPr>
          <w:sz w:val="18"/>
        </w:rPr>
        <w:t>”</w:t>
      </w:r>
      <w:r w:rsidR="004005AF">
        <w:rPr>
          <w:sz w:val="18"/>
        </w:rPr>
        <w:t xml:space="preserve">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1D408E9F" w14:textId="484E90D9" w:rsidR="004005AF" w:rsidRPr="00EB0868" w:rsidRDefault="00380305" w:rsidP="00F01ED6">
      <w:pPr>
        <w:spacing w:after="0" w:line="240" w:lineRule="auto"/>
        <w:rPr>
          <w:sz w:val="18"/>
        </w:rPr>
      </w:pPr>
      <w:r>
        <w:rPr>
          <w:sz w:val="18"/>
        </w:rPr>
        <w:t>“</w:t>
      </w:r>
      <w:r w:rsidR="004005AF">
        <w:rPr>
          <w:b/>
          <w:color w:val="00188F"/>
          <w:sz w:val="18"/>
        </w:rPr>
        <w:t>Conectividade</w:t>
      </w:r>
      <w:r>
        <w:rPr>
          <w:sz w:val="18"/>
        </w:rPr>
        <w:t>”</w:t>
      </w:r>
      <w:r w:rsidR="004005AF">
        <w:rPr>
          <w:sz w:val="18"/>
        </w:rPr>
        <w:t xml:space="preserve"> designa o tráfego de rede bidirecional através de protocolos de transporte IP suportados que podem ser enviados e recebidos de</w:t>
      </w:r>
      <w:r w:rsidR="004D6ED7">
        <w:rPr>
          <w:sz w:val="18"/>
        </w:rPr>
        <w:t> </w:t>
      </w:r>
      <w:r w:rsidR="004005AF">
        <w:rPr>
          <w:sz w:val="18"/>
        </w:rPr>
        <w:t>qualquer endereço IP configurado para permitir o tráfego.</w:t>
      </w:r>
    </w:p>
    <w:p w14:paraId="50AC2315" w14:textId="77777777" w:rsidR="004005AF" w:rsidRDefault="004005AF" w:rsidP="00F01ED6">
      <w:pPr>
        <w:spacing w:after="0" w:line="240" w:lineRule="auto"/>
        <w:rPr>
          <w:sz w:val="18"/>
        </w:rPr>
      </w:pPr>
    </w:p>
    <w:p w14:paraId="76CAB4BE" w14:textId="7D249216"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 Balanceador de Carga do Azure</w:t>
      </w:r>
    </w:p>
    <w:p w14:paraId="5984CE3D" w14:textId="394C7D7D"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Período Aplicável.</w:t>
      </w:r>
    </w:p>
    <w:p w14:paraId="56E8E5AE" w14:textId="3CADA36C" w:rsidR="004005AF" w:rsidRPr="006C1AC0"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número total de minutos durante o Máximo de Minutos Disponíveis durante os quais o Balanceador de Carga Standard do Azure está indisponível. Um minuto é considerado indisponível se todas as Máquinas Virtuais Saudáveis não têm Conectividade através do Ponto Final Equilibrado de Carga. O Período de Indisponibilidade não inclui minutos resultantes de esgotamentos de portas SNAT.</w:t>
      </w:r>
    </w:p>
    <w:p w14:paraId="3FC03727" w14:textId="47ADF572" w:rsidR="004005AF" w:rsidRPr="00ED4527" w:rsidRDefault="004005AF" w:rsidP="00F01ED6">
      <w:pPr>
        <w:pStyle w:val="ProductList-Body"/>
        <w:rPr>
          <w:color w:val="000000" w:themeColor="text1"/>
        </w:rPr>
      </w:pPr>
      <w:r>
        <w:t xml:space="preserve">A </w:t>
      </w:r>
      <w:r w:rsidR="00380305" w:rsidRPr="00CB7596">
        <w:t>“</w:t>
      </w:r>
      <w:r>
        <w:rPr>
          <w:b/>
          <w:bCs/>
          <w:color w:val="00188F"/>
        </w:rPr>
        <w:t>Percentagem de Período de Disponibilidade</w:t>
      </w:r>
      <w:r w:rsidR="00380305" w:rsidRPr="00CB7596">
        <w:t>”</w:t>
      </w:r>
      <w:r>
        <w:rPr>
          <w:color w:val="000000" w:themeColor="text1"/>
        </w:rPr>
        <w:t xml:space="preserve"> para o Balanceador de Carga Standard do Azure é calculada como o Máximo de Minutos Disponíveis menos o Período de Indisponibilidade a dividir pelo Máximo de Minutos Disponíveis multiplicado por 100.</w:t>
      </w:r>
    </w:p>
    <w:p w14:paraId="4C109F12" w14:textId="7B357005" w:rsidR="004005AF" w:rsidRDefault="00AC48A7" w:rsidP="00F01ED6">
      <w:pPr>
        <w:pStyle w:val="ProductList-Body"/>
      </w:pPr>
      <w:r>
        <w:rPr>
          <w:b/>
          <w:color w:val="00188F"/>
        </w:rPr>
        <w:lastRenderedPageBreak/>
        <w:t>Percentagem de Período de Disponibilidade</w:t>
      </w:r>
      <w:r w:rsidRPr="00473DD3">
        <w:rPr>
          <w:b/>
          <w:color w:val="00188F"/>
        </w:rPr>
        <w:t>:</w:t>
      </w:r>
      <w:r>
        <w:t xml:space="preserve"> A Percentagem de Período de Disponibilidade é calculada através da seguinte fórmula:</w:t>
      </w:r>
    </w:p>
    <w:p w14:paraId="5DFBEDC7" w14:textId="17DD377C" w:rsidR="004005AF" w:rsidRPr="00434BE0" w:rsidRDefault="00000000" w:rsidP="00DD0B5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4DDE6ED" w14:textId="77777777" w:rsidR="004005AF" w:rsidRDefault="004005AF" w:rsidP="00F01ED6">
      <w:pPr>
        <w:pStyle w:val="ProductList-Body"/>
      </w:pPr>
      <w:r>
        <w:rPr>
          <w:b/>
          <w:color w:val="00188F"/>
        </w:rPr>
        <w:t>Os seguintes Níveis de Serviço e Crédito de Serviço são aplicáveis à utilização do Equilibrador de Carga do Azure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E8FB43"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277097">
        <w:tc>
          <w:tcPr>
            <w:tcW w:w="5400" w:type="dxa"/>
          </w:tcPr>
          <w:p w14:paraId="064E58E0" w14:textId="77777777" w:rsidR="004005AF" w:rsidRPr="0076238C" w:rsidRDefault="004005AF" w:rsidP="00F01ED6">
            <w:pPr>
              <w:pStyle w:val="ProductList-OfferingBody"/>
              <w:jc w:val="center"/>
            </w:pPr>
            <w:r>
              <w:t>&lt; 99,99%</w:t>
            </w:r>
          </w:p>
        </w:tc>
        <w:tc>
          <w:tcPr>
            <w:tcW w:w="5400" w:type="dxa"/>
          </w:tcPr>
          <w:p w14:paraId="06B44C4A" w14:textId="77777777" w:rsidR="004005AF" w:rsidRPr="0076238C" w:rsidRDefault="004005AF" w:rsidP="00F01ED6">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F01ED6">
            <w:pPr>
              <w:pStyle w:val="ProductList-OfferingBody"/>
              <w:jc w:val="center"/>
            </w:pPr>
            <w:r>
              <w:t>&lt; 99,9%</w:t>
            </w:r>
          </w:p>
        </w:tc>
        <w:tc>
          <w:tcPr>
            <w:tcW w:w="5400" w:type="dxa"/>
          </w:tcPr>
          <w:p w14:paraId="4E5345A1" w14:textId="77777777" w:rsidR="004005AF" w:rsidRPr="0076238C" w:rsidRDefault="004005AF" w:rsidP="00F01ED6">
            <w:pPr>
              <w:pStyle w:val="ProductList-OfferingBody"/>
              <w:jc w:val="center"/>
            </w:pPr>
            <w:r>
              <w:t>25%</w:t>
            </w:r>
          </w:p>
        </w:tc>
      </w:tr>
    </w:tbl>
    <w:p w14:paraId="24D2B95B" w14:textId="77777777" w:rsidR="004005AF" w:rsidRDefault="004005AF" w:rsidP="00DD0B52">
      <w:pPr>
        <w:pStyle w:val="ProductList-Body"/>
        <w:spacing w:before="120"/>
      </w:pPr>
      <w:r>
        <w:rPr>
          <w:b/>
          <w:color w:val="00188F"/>
        </w:rPr>
        <w:t>Exceções de Nível de Serviço</w:t>
      </w:r>
      <w:r w:rsidRPr="00473DD3">
        <w:rPr>
          <w:b/>
          <w:color w:val="00188F"/>
        </w:rPr>
        <w:t>:</w:t>
      </w:r>
      <w:r>
        <w:t xml:space="preserve"> Não é fornecido nenhum SLA para o Equilibrador de Carga Básico.</w:t>
      </w:r>
    </w:p>
    <w:bookmarkStart w:id="303" w:name="_Toc457806469"/>
    <w:bookmarkStart w:id="304" w:name="_Toc457821556"/>
    <w:bookmarkStart w:id="305" w:name="_Toc52348963"/>
    <w:bookmarkStart w:id="306" w:name="_Toc513395515"/>
    <w:bookmarkStart w:id="307" w:name="_Toc52348935"/>
    <w:bookmarkStart w:id="308" w:name="_Hlk513540130"/>
    <w:p w14:paraId="029C701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3DF6C59B" w14:textId="77777777" w:rsidR="00BC2A9C" w:rsidRDefault="00BC2A9C" w:rsidP="00F01ED6">
      <w:pPr>
        <w:pStyle w:val="ProductList-Offering2Heading"/>
        <w:keepNext/>
        <w:tabs>
          <w:tab w:val="clear" w:pos="360"/>
        </w:tabs>
        <w:outlineLvl w:val="2"/>
      </w:pPr>
      <w:bookmarkStart w:id="309" w:name="_Toc214456835"/>
      <w:r>
        <w:t>Azure Load Testing</w:t>
      </w:r>
      <w:bookmarkEnd w:id="309"/>
    </w:p>
    <w:p w14:paraId="3F07AB71" w14:textId="77777777" w:rsidR="00BC2A9C" w:rsidRDefault="00BC2A9C" w:rsidP="00F01ED6">
      <w:pPr>
        <w:pStyle w:val="ProductList-Body"/>
        <w:rPr>
          <w:b/>
          <w:color w:val="00188F"/>
        </w:rPr>
      </w:pPr>
      <w:r>
        <w:rPr>
          <w:b/>
          <w:color w:val="00188F"/>
        </w:rPr>
        <w:t>Definições Adicionais</w:t>
      </w:r>
    </w:p>
    <w:p w14:paraId="2448E99D" w14:textId="2B043D5B"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Implementação</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o número total de minutos durante os quais um determinado Recurso do Serviço Azure Load Testing foi implementado no Microsoft Azure durante um Período Aplicável.</w:t>
      </w:r>
      <w:r w:rsidR="000514F4">
        <w:rPr>
          <w:rFonts w:asciiTheme="minorHAnsi" w:eastAsiaTheme="minorHAnsi" w:hAnsiTheme="minorHAnsi" w:cstheme="minorBidi"/>
          <w:sz w:val="18"/>
          <w:szCs w:val="22"/>
        </w:rPr>
        <w:t xml:space="preserve"> </w:t>
      </w:r>
    </w:p>
    <w:p w14:paraId="1C370487" w14:textId="5531CE1F"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w:t>
      </w:r>
    </w:p>
    <w:p w14:paraId="05B57661" w14:textId="4CC41807"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Período de Indisponibilidade</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durante o qual o Recurso do Teste de Carga está indisponível. Um minuto é considerado indisponível para um determinado Serviço se todos os pedidos de HTTP contínuos para executar operações nesse minuto resultarem num Código de Erro ou se não devolverem uma resposta ao fim de 5 minutos.</w:t>
      </w:r>
      <w:r w:rsidR="000514F4">
        <w:rPr>
          <w:rFonts w:asciiTheme="minorHAnsi" w:eastAsiaTheme="minorHAnsi" w:hAnsiTheme="minorHAnsi" w:cstheme="minorBidi"/>
          <w:sz w:val="18"/>
          <w:szCs w:val="22"/>
        </w:rPr>
        <w:t xml:space="preserve"> </w:t>
      </w:r>
    </w:p>
    <w:p w14:paraId="1D8B17B8" w14:textId="38D310D5"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014E15EF" w14:textId="362756AC" w:rsidR="00BC2A9C" w:rsidRDefault="00000000" w:rsidP="00DD0B5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BAC3124" w14:textId="77777777" w:rsidR="00BC2A9C" w:rsidRDefault="00BC2A9C" w:rsidP="00F01ED6">
      <w:pPr>
        <w:pStyle w:val="ProductList-Body"/>
        <w:keepNext/>
        <w:rPr>
          <w:b/>
          <w:bCs/>
          <w:color w:val="00188F"/>
        </w:rPr>
      </w:pPr>
      <w:r>
        <w:rPr>
          <w:b/>
          <w:bCs/>
          <w:color w:val="00188F"/>
        </w:rPr>
        <w:t>Os seguintes Níveis de Serviço e Crédito de Serviço são aplicáveis à utilização do Azure Load Testing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F01ED6">
            <w:pPr>
              <w:pStyle w:val="ProductList-OfferingBody"/>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F01ED6">
            <w:pPr>
              <w:pStyle w:val="ProductList-OfferingBody"/>
              <w:jc w:val="center"/>
            </w:pPr>
            <w:r>
              <w:t>25%</w:t>
            </w:r>
          </w:p>
        </w:tc>
      </w:tr>
    </w:tbl>
    <w:bookmarkStart w:id="310" w:name="_Toc52348962"/>
    <w:p w14:paraId="5B108B6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CC165B" w14:textId="4294ED1C" w:rsidR="00C215C5" w:rsidRDefault="00C215C5" w:rsidP="00F01ED6">
      <w:pPr>
        <w:pStyle w:val="ProductList-Offering2Heading"/>
        <w:tabs>
          <w:tab w:val="clear" w:pos="360"/>
        </w:tabs>
        <w:outlineLvl w:val="2"/>
      </w:pPr>
      <w:bookmarkStart w:id="311" w:name="_Toc214456836"/>
      <w:r>
        <w:t>Log Analytics (SLA de Disponibilidade de Consultas)</w:t>
      </w:r>
      <w:bookmarkEnd w:id="310"/>
      <w:bookmarkEnd w:id="311"/>
    </w:p>
    <w:p w14:paraId="448258F5" w14:textId="77777777" w:rsidR="00C215C5" w:rsidRDefault="00C215C5" w:rsidP="00F01ED6">
      <w:pPr>
        <w:pStyle w:val="ProductList-Body"/>
      </w:pPr>
      <w:r>
        <w:rPr>
          <w:b/>
          <w:color w:val="00188F"/>
        </w:rPr>
        <w:t>Definições Adicionais</w:t>
      </w:r>
      <w:r w:rsidRPr="00473DD3">
        <w:rPr>
          <w:b/>
          <w:color w:val="00188F"/>
        </w:rPr>
        <w:t>:</w:t>
      </w:r>
    </w:p>
    <w:p w14:paraId="579B75CF" w14:textId="28736413" w:rsidR="00C215C5" w:rsidRDefault="00380305" w:rsidP="00F01ED6">
      <w:pPr>
        <w:pStyle w:val="ProductList-Body"/>
      </w:pPr>
      <w:r w:rsidRPr="00CB7596">
        <w:t>“</w:t>
      </w:r>
      <w:r w:rsidR="00C215C5">
        <w:rPr>
          <w:b/>
          <w:color w:val="00188F"/>
        </w:rPr>
        <w:t>Máximo de Minutos Disponíveis</w:t>
      </w:r>
      <w:r w:rsidRPr="00CB7596">
        <w:t>”</w:t>
      </w:r>
      <w:r w:rsidR="00C215C5">
        <w:t xml:space="preserve"> designa o número total de minutos que uma determinada Área de Trabalho do Log Analytics esteve implementada pelo Cliente numa subscrição do Microsoft Azure durante um Período Aplicável.</w:t>
      </w:r>
    </w:p>
    <w:p w14:paraId="020378FE" w14:textId="3029A787" w:rsidR="00C215C5" w:rsidRDefault="00380305" w:rsidP="00F01ED6">
      <w:pPr>
        <w:pStyle w:val="ProductList-Body"/>
      </w:pPr>
      <w:r w:rsidRPr="00CB7596">
        <w:t>“</w:t>
      </w:r>
      <w:r w:rsidR="00C215C5">
        <w:rPr>
          <w:b/>
          <w:color w:val="00188F"/>
        </w:rPr>
        <w:t>Período de Indisponibilidade</w:t>
      </w:r>
      <w:r w:rsidRPr="00CB7596">
        <w:t>”</w:t>
      </w:r>
      <w:r w:rsidR="00C215C5">
        <w:t xml:space="preserve"> designa o número total de minutos durante o Máximo de Minutos Disponíveis que os dados numa Área de</w:t>
      </w:r>
      <w:r w:rsidR="007E1901">
        <w:t> </w:t>
      </w:r>
      <w:r w:rsidR="00C215C5">
        <w:t>Trabalho do Log Analytics estão indisponíveis. Um minuto de indisponibilidade de uma determinada Área de Trabalho do Log Analytics consiste</w:t>
      </w:r>
      <w:r w:rsidR="007E1901">
        <w:t> </w:t>
      </w:r>
      <w:r w:rsidR="00C215C5">
        <w:t xml:space="preserve">no período de tempo durante o qual não se registou qualquer operação de HTTP que tenha resultado num Código de Sucesso. </w:t>
      </w:r>
    </w:p>
    <w:p w14:paraId="5A45663D" w14:textId="55746A16" w:rsidR="00C215C5" w:rsidRDefault="00C215C5" w:rsidP="00F01ED6">
      <w:pPr>
        <w:pStyle w:val="ProductList-Body"/>
      </w:pPr>
      <w:r>
        <w:t xml:space="preserve">A </w:t>
      </w:r>
      <w:r w:rsidR="00380305" w:rsidRPr="00CB7596">
        <w:t>“</w:t>
      </w:r>
      <w:r>
        <w:rPr>
          <w:b/>
          <w:color w:val="00188F"/>
        </w:rPr>
        <w:t>Percentagem de Disponibilidade para Consulta</w:t>
      </w:r>
      <w:r w:rsidR="00380305" w:rsidRPr="00CB7596">
        <w:t>”</w:t>
      </w:r>
      <w:r>
        <w:t xml:space="preserve"> de uma determinada Área de Trabalho do Log Analytics é calculada como o Máximo de</w:t>
      </w:r>
      <w:r w:rsidR="00B75BF8">
        <w:t> </w:t>
      </w:r>
      <w:r>
        <w:t>Minutos Disponíveis menos o Período de Indisponibilidade, a dividir pelo Máximo de Minutos Disponíveis a multiplicar por 100.</w:t>
      </w:r>
    </w:p>
    <w:p w14:paraId="6DC85651" w14:textId="202902D0" w:rsidR="00C215C5" w:rsidRDefault="00C215C5" w:rsidP="00F01ED6">
      <w:pPr>
        <w:pStyle w:val="ProductList-Body"/>
      </w:pPr>
      <w:r>
        <w:rPr>
          <w:b/>
          <w:color w:val="00188F"/>
        </w:rPr>
        <w:t>Percentagem de Disponibilidade para Consulta</w:t>
      </w:r>
      <w:r w:rsidRPr="00473DD3">
        <w:rPr>
          <w:b/>
          <w:color w:val="00188F"/>
        </w:rPr>
        <w:t>:</w:t>
      </w:r>
      <w:r>
        <w:t xml:space="preserve"> A Percentagem de Disponibilidade para Consulta é calculada utilizando a seguinte fórmula:</w:t>
      </w:r>
    </w:p>
    <w:p w14:paraId="71453A9D" w14:textId="68DBF484" w:rsidR="00C215C5" w:rsidRDefault="00000000" w:rsidP="00DD0B52">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7E68AC8" w14:textId="77777777" w:rsidR="00C215C5" w:rsidRDefault="00C215C5" w:rsidP="00F01ED6">
      <w:pPr>
        <w:pStyle w:val="ProductList-ClauseHeading"/>
        <w:keepNext/>
      </w:pPr>
      <w:r>
        <w:t>Crédito de Serviço</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F01ED6">
            <w:pPr>
              <w:pStyle w:val="ProductList-OfferingBody"/>
              <w:jc w:val="center"/>
              <w:rPr>
                <w:color w:val="FFFFFF" w:themeColor="background1"/>
              </w:rPr>
            </w:pPr>
            <w:r>
              <w:rPr>
                <w:color w:val="FFFFFF" w:themeColor="background1"/>
              </w:rPr>
              <w:t>Percentagem de Disponibilidade para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F01ED6">
            <w:pPr>
              <w:pStyle w:val="ProductList-OfferingBody"/>
              <w:jc w:val="center"/>
              <w:rPr>
                <w:color w:val="FFFFFF" w:themeColor="background1"/>
              </w:rPr>
            </w:pPr>
            <w:r>
              <w:rPr>
                <w:color w:val="FFFFFF" w:themeColor="background1"/>
              </w:rPr>
              <w:t>Crédito de Serviço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F01ED6">
            <w:pPr>
              <w:pStyle w:val="ProductList-OfferingBody"/>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F01ED6">
            <w:pPr>
              <w:pStyle w:val="ProductList-OfferingBody"/>
              <w:jc w:val="center"/>
            </w:pPr>
            <w:r>
              <w:t>25%</w:t>
            </w:r>
          </w:p>
        </w:tc>
      </w:tr>
    </w:tbl>
    <w:p w14:paraId="182BF3EE"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28F3FBF" w14:textId="77777777" w:rsidR="0018185B" w:rsidRPr="00EF7CF9" w:rsidRDefault="0018185B" w:rsidP="00F01ED6">
      <w:pPr>
        <w:pStyle w:val="ProductList-Offering2Heading"/>
        <w:keepNext/>
        <w:tabs>
          <w:tab w:val="clear" w:pos="360"/>
          <w:tab w:val="clear" w:pos="720"/>
          <w:tab w:val="clear" w:pos="1080"/>
        </w:tabs>
        <w:outlineLvl w:val="2"/>
      </w:pPr>
      <w:bookmarkStart w:id="312" w:name="_Toc214456837"/>
      <w:r>
        <w:lastRenderedPageBreak/>
        <w:t>Aplicações Lógicas</w:t>
      </w:r>
      <w:bookmarkEnd w:id="303"/>
      <w:bookmarkEnd w:id="304"/>
      <w:bookmarkEnd w:id="305"/>
      <w:bookmarkEnd w:id="312"/>
    </w:p>
    <w:p w14:paraId="1C8D405B" w14:textId="77777777" w:rsidR="0018185B" w:rsidRPr="00EF7CF9" w:rsidRDefault="0018185B" w:rsidP="00F01ED6">
      <w:pPr>
        <w:pStyle w:val="ProductList-Body"/>
        <w:keepNext/>
      </w:pPr>
      <w:r>
        <w:rPr>
          <w:b/>
          <w:color w:val="00188F"/>
        </w:rPr>
        <w:t>Definições Adicionais</w:t>
      </w:r>
      <w:r w:rsidRPr="00473DD3">
        <w:rPr>
          <w:b/>
          <w:color w:val="00188F"/>
        </w:rPr>
        <w:t>:</w:t>
      </w:r>
    </w:p>
    <w:p w14:paraId="71EA9ED9" w14:textId="26016095" w:rsidR="0018185B" w:rsidRPr="00EF7CF9" w:rsidRDefault="00380305" w:rsidP="00F01ED6">
      <w:pPr>
        <w:pStyle w:val="ProductList-Body"/>
      </w:pPr>
      <w:r>
        <w:t>“</w:t>
      </w:r>
      <w:r w:rsidR="0018185B">
        <w:rPr>
          <w:b/>
          <w:color w:val="00188F"/>
        </w:rPr>
        <w:t>Minutos de Implementação</w:t>
      </w:r>
      <w:r>
        <w:t>”</w:t>
      </w:r>
      <w:r w:rsidR="0018185B">
        <w:t xml:space="preserve"> designa o número total de minutos durante os quais uma determinada Aplicação Lógica foi definida para ser executada no Microsoft Azure durante um Período Aplicável. Os Minutos de Implementação são calculados a partir do momento em que a</w:t>
      </w:r>
      <w:r w:rsidR="008B2475">
        <w:t> </w:t>
      </w:r>
      <w:r w:rsidR="0018185B">
        <w:t>Aplicação Lógica foi criada ou o Cliente iniciou uma ação que resultaria na execução da Aplicação Lógica até ao momento em que o Cliente iniciou</w:t>
      </w:r>
      <w:r w:rsidR="008B2475">
        <w:t> </w:t>
      </w:r>
      <w:r w:rsidR="0018185B">
        <w:t xml:space="preserve">uma ação que resultaria na interrupção ou eliminação da Aplicação Lógica. </w:t>
      </w:r>
    </w:p>
    <w:p w14:paraId="50DCE916" w14:textId="5B1399CE" w:rsidR="0018185B" w:rsidRPr="00EF7CF9" w:rsidRDefault="00380305" w:rsidP="00F01ED6">
      <w:pPr>
        <w:spacing w:after="0" w:line="240" w:lineRule="auto"/>
        <w:rPr>
          <w:sz w:val="18"/>
        </w:rPr>
      </w:pPr>
      <w:r>
        <w:rPr>
          <w:sz w:val="18"/>
          <w:szCs w:val="18"/>
        </w:rPr>
        <w:t>“</w:t>
      </w:r>
      <w:r w:rsidR="0018185B">
        <w:rPr>
          <w:b/>
          <w:color w:val="00188F"/>
          <w:sz w:val="18"/>
        </w:rPr>
        <w:t>Máximo de Minutos Disponíveis</w:t>
      </w:r>
      <w:r>
        <w:rPr>
          <w:sz w:val="18"/>
          <w:szCs w:val="18"/>
        </w:rPr>
        <w:t>”</w:t>
      </w:r>
      <w:r w:rsidR="0018185B">
        <w:rPr>
          <w:b/>
          <w:color w:val="00188F"/>
          <w:sz w:val="18"/>
          <w:szCs w:val="18"/>
        </w:rPr>
        <w:t xml:space="preserve"> </w:t>
      </w:r>
      <w:r w:rsidR="0018185B">
        <w:rPr>
          <w:sz w:val="18"/>
        </w:rPr>
        <w:t>designa a soma de todos os Minutos de Implementação em todas as Aplicações Lógicas implementadas pelo</w:t>
      </w:r>
      <w:r w:rsidR="00D36A29">
        <w:rPr>
          <w:sz w:val="18"/>
        </w:rPr>
        <w:t> </w:t>
      </w:r>
      <w:r w:rsidR="0018185B">
        <w:rPr>
          <w:sz w:val="18"/>
        </w:rPr>
        <w:t>Cliente numa determinada subscrição do Microsoft Azure durante um Período Aplicável.</w:t>
      </w:r>
    </w:p>
    <w:p w14:paraId="45E6CD61" w14:textId="3782791F" w:rsidR="0018185B" w:rsidRPr="00EF7CF9" w:rsidRDefault="00380305" w:rsidP="00F01ED6">
      <w:pPr>
        <w:pStyle w:val="ProductList-Body"/>
      </w:pPr>
      <w:r>
        <w:t>“</w:t>
      </w:r>
      <w:r w:rsidR="0018185B">
        <w:rPr>
          <w:b/>
          <w:color w:val="00188F"/>
        </w:rPr>
        <w:t>Período de Indisponibilidade</w:t>
      </w:r>
      <w:r>
        <w:t>”</w:t>
      </w:r>
      <w:r w:rsidR="0018185B">
        <w:rPr>
          <w:b/>
          <w:color w:val="00188F"/>
        </w:rPr>
        <w:t xml:space="preserve"> </w:t>
      </w:r>
      <w:r w:rsidR="0018185B">
        <w:t>designa 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4261DAA7" w14:textId="558012BE" w:rsidR="0018185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BD740A8" w14:textId="50D1124F" w:rsidR="0018185B" w:rsidRPr="00EF7CF9" w:rsidRDefault="00000000" w:rsidP="00DD0B52">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BD83424" w14:textId="77777777" w:rsidR="0018185B" w:rsidRPr="00EF7CF9" w:rsidRDefault="0018185B" w:rsidP="00F01ED6">
      <w:pPr>
        <w:pStyle w:val="ProductList-Body"/>
        <w:rPr>
          <w:szCs w:val="18"/>
        </w:rPr>
      </w:pPr>
      <w:r>
        <w:rPr>
          <w:b/>
          <w:color w:val="00188F"/>
          <w:szCs w:val="18"/>
        </w:rPr>
        <w:t>Crédito de Serviço</w:t>
      </w:r>
      <w:r w:rsidRPr="00473DD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946C4B" w14:textId="77777777" w:rsidR="0018185B" w:rsidRPr="00EF7CF9" w:rsidRDefault="0018185B" w:rsidP="00F01ED6">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277097">
        <w:tc>
          <w:tcPr>
            <w:tcW w:w="5400" w:type="dxa"/>
          </w:tcPr>
          <w:p w14:paraId="2AB791A9" w14:textId="77777777" w:rsidR="0018185B" w:rsidRPr="00EF7CF9" w:rsidRDefault="0018185B" w:rsidP="00F01ED6">
            <w:pPr>
              <w:pStyle w:val="ProductList-OfferingBody"/>
              <w:jc w:val="center"/>
            </w:pPr>
            <w:r>
              <w:t>&lt; 99,9%</w:t>
            </w:r>
          </w:p>
        </w:tc>
        <w:tc>
          <w:tcPr>
            <w:tcW w:w="5400" w:type="dxa"/>
          </w:tcPr>
          <w:p w14:paraId="5F5BBE95" w14:textId="77777777" w:rsidR="0018185B" w:rsidRPr="00EF7CF9" w:rsidRDefault="0018185B" w:rsidP="00F01ED6">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F01ED6">
            <w:pPr>
              <w:pStyle w:val="ProductList-OfferingBody"/>
              <w:jc w:val="center"/>
            </w:pPr>
            <w:r>
              <w:t>&lt; 99%</w:t>
            </w:r>
          </w:p>
        </w:tc>
        <w:tc>
          <w:tcPr>
            <w:tcW w:w="5400" w:type="dxa"/>
          </w:tcPr>
          <w:p w14:paraId="63EBC3F3" w14:textId="77777777" w:rsidR="0018185B" w:rsidRPr="00EF7CF9" w:rsidRDefault="0018185B" w:rsidP="00F01ED6">
            <w:pPr>
              <w:pStyle w:val="ProductList-OfferingBody"/>
              <w:jc w:val="center"/>
            </w:pPr>
            <w:r>
              <w:t>25%</w:t>
            </w:r>
          </w:p>
        </w:tc>
      </w:tr>
    </w:tbl>
    <w:p w14:paraId="5B529FE5" w14:textId="77777777" w:rsidR="00521CBF" w:rsidRDefault="00521CBF" w:rsidP="00AB785C">
      <w:pPr>
        <w:keepNext/>
        <w:spacing w:before="120" w:after="0" w:line="240" w:lineRule="auto"/>
        <w:rPr>
          <w:rFonts w:ascii="Calibri" w:hAnsi="Calibri" w:cs="Calibri"/>
          <w:sz w:val="18"/>
          <w:szCs w:val="18"/>
        </w:rPr>
      </w:pPr>
      <w:r>
        <w:rPr>
          <w:rFonts w:ascii="Calibri" w:hAnsi="Calibri" w:cs="Calibri"/>
          <w:sz w:val="18"/>
          <w:szCs w:val="18"/>
        </w:rPr>
        <w:t>A partir de 1 de setembro de 2024, o Ambiente de Serviços de Integração é uma funcionalidade do Serviço retirada e o seu Intervalo de Suporte expirou. O Logic Apps implementado num Ambiente de Serviços de Integração já não oferece quaisquer garantias de Nível de Serviço e, por extensão, Créditos de Serviço, para problemas de desempenho ou disponibilidade relacionados com o Logic Apps em execução no Ambiente de Serviços de Integração.</w:t>
      </w:r>
    </w:p>
    <w:p w14:paraId="3C1D8F9D" w14:textId="77777777" w:rsidR="00AD56BC" w:rsidRPr="00EF7CF9" w:rsidRDefault="00AD56BC" w:rsidP="00AD56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616F48B3" w14:textId="21876A24" w:rsidR="00AD6527" w:rsidRPr="00AD6527" w:rsidRDefault="00AD6527" w:rsidP="00F01ED6">
      <w:pPr>
        <w:pStyle w:val="ProductList-Offering2Heading"/>
        <w:keepNext/>
        <w:tabs>
          <w:tab w:val="clear" w:pos="360"/>
          <w:tab w:val="clear" w:pos="720"/>
          <w:tab w:val="clear" w:pos="1080"/>
        </w:tabs>
        <w:outlineLvl w:val="2"/>
      </w:pPr>
      <w:bookmarkStart w:id="313" w:name="_Toc214456838"/>
      <w:r>
        <w:t>Azure Machine Learning</w:t>
      </w:r>
      <w:bookmarkEnd w:id="313"/>
    </w:p>
    <w:p w14:paraId="0544D758" w14:textId="3AD85D91" w:rsidR="00AD6527" w:rsidRPr="00AD6527" w:rsidRDefault="00EE6E3C" w:rsidP="00F01ED6">
      <w:pPr>
        <w:pStyle w:val="ProductList-Body"/>
        <w:rPr>
          <w:b/>
          <w:bCs/>
          <w:color w:val="00188F"/>
        </w:rPr>
      </w:pPr>
      <w:r>
        <w:rPr>
          <w:b/>
          <w:bCs/>
          <w:color w:val="00188F"/>
        </w:rPr>
        <w:t>Cálculo do Período de Disponibilidade e Níveis de Serviço para a Classificação em Tempo Real do Machine Learning</w:t>
      </w:r>
    </w:p>
    <w:p w14:paraId="3D05F60E" w14:textId="4AC9D686"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7EA32AA0" w14:textId="7A5AE360" w:rsidR="00AD6527" w:rsidRDefault="00380305" w:rsidP="00F01ED6">
      <w:pPr>
        <w:pStyle w:val="ProductList-Body"/>
      </w:pPr>
      <w:r>
        <w:t>“</w:t>
      </w:r>
      <w:r w:rsidR="00AD6527">
        <w:rPr>
          <w:b/>
          <w:bCs/>
          <w:color w:val="00188F"/>
        </w:rPr>
        <w:t>Transações Falhadas</w:t>
      </w:r>
      <w:r>
        <w:t>”</w:t>
      </w:r>
      <w:r w:rsidR="00AD6527">
        <w:t xml:space="preserve"> é o conjunto de todos os pedidos de Tentativas de Transação que devolvem um Código de Erro ou um código de estado HTTP 4xx ou uma falha em devolver um Código de Êxito num prazo de 600 segundos.</w:t>
      </w:r>
    </w:p>
    <w:p w14:paraId="2C7AAE71" w14:textId="65361CE5"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4A63CAC2" w14:textId="7764EDD1" w:rsidR="00AD6527" w:rsidRPr="00EF7CF9" w:rsidRDefault="00000000" w:rsidP="009B6B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 Classificação em Tempo Real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19E054"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277097">
        <w:tc>
          <w:tcPr>
            <w:tcW w:w="5400" w:type="dxa"/>
          </w:tcPr>
          <w:p w14:paraId="009BAA71" w14:textId="77777777" w:rsidR="00A63636" w:rsidRPr="00EF7CF9" w:rsidRDefault="00A63636" w:rsidP="00F01ED6">
            <w:pPr>
              <w:pStyle w:val="ProductList-OfferingBody"/>
              <w:jc w:val="center"/>
            </w:pPr>
            <w:r>
              <w:t>&lt; 99,9%</w:t>
            </w:r>
          </w:p>
        </w:tc>
        <w:tc>
          <w:tcPr>
            <w:tcW w:w="5400" w:type="dxa"/>
          </w:tcPr>
          <w:p w14:paraId="6EE66041" w14:textId="77777777" w:rsidR="00A63636" w:rsidRPr="00EF7CF9" w:rsidRDefault="00A63636" w:rsidP="00F01ED6">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F01ED6">
            <w:pPr>
              <w:pStyle w:val="ProductList-OfferingBody"/>
              <w:jc w:val="center"/>
            </w:pPr>
            <w:r>
              <w:t>&lt; 99%</w:t>
            </w:r>
          </w:p>
        </w:tc>
        <w:tc>
          <w:tcPr>
            <w:tcW w:w="5400" w:type="dxa"/>
          </w:tcPr>
          <w:p w14:paraId="743B5AA1" w14:textId="77777777" w:rsidR="00A63636" w:rsidRPr="00EF7CF9" w:rsidRDefault="00A63636" w:rsidP="00F01ED6">
            <w:pPr>
              <w:pStyle w:val="ProductList-OfferingBody"/>
              <w:jc w:val="center"/>
            </w:pPr>
            <w:r>
              <w:t>25%</w:t>
            </w:r>
          </w:p>
        </w:tc>
      </w:tr>
    </w:tbl>
    <w:p w14:paraId="084EC24C" w14:textId="4E8D96CC" w:rsidR="00AD6527" w:rsidRPr="00A63636" w:rsidRDefault="00EE6E3C" w:rsidP="00011653">
      <w:pPr>
        <w:pStyle w:val="ProductList-Body"/>
        <w:spacing w:before="120"/>
        <w:rPr>
          <w:b/>
          <w:bCs/>
          <w:color w:val="00188F"/>
        </w:rPr>
      </w:pPr>
      <w:r>
        <w:rPr>
          <w:b/>
          <w:bCs/>
          <w:color w:val="00188F"/>
        </w:rPr>
        <w:t>Cálculo do Período de Disponibilidade e Níveis de Serviço para Gestão de Computação do Machine Learning</w:t>
      </w:r>
    </w:p>
    <w:p w14:paraId="508098E1" w14:textId="248CC981"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6FE8B9C6" w14:textId="0748E631" w:rsidR="00AD6527" w:rsidRDefault="00380305" w:rsidP="00F01ED6">
      <w:pPr>
        <w:pStyle w:val="ProductList-Body"/>
      </w:pPr>
      <w:r>
        <w:t>“</w:t>
      </w:r>
      <w:r w:rsidR="00AD6527">
        <w:rPr>
          <w:b/>
          <w:bCs/>
          <w:color w:val="00188F"/>
        </w:rPr>
        <w:t>Transações Falhadas</w:t>
      </w:r>
      <w:r>
        <w:t>”</w:t>
      </w:r>
      <w:r w:rsidR="00AD6527">
        <w:t xml:space="preserve"> é o conjunto de todos os pedidos no Total de Pedidos que devolvem um Código de Erro ou um código de estado HTTP 408 ou uma falha em devolver um Código de Êxito num prazo de 30 segundos.</w:t>
      </w:r>
    </w:p>
    <w:p w14:paraId="02C4F9FC" w14:textId="155466EF"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w:t>
      </w:r>
      <w:r w:rsidR="00FE3A87">
        <w:t> </w:t>
      </w:r>
      <w:r w:rsidR="00AD6527">
        <w:t>Total de Tentativas de Transação num Período Aplicável para uma determinada subscrição do Microsoft Azure. A Percentagem de Período de</w:t>
      </w:r>
      <w:r w:rsidR="00FE3A87">
        <w:t> </w:t>
      </w:r>
      <w:r w:rsidR="00AD6527">
        <w:t>Disponibilidade é representada pela seguinte fórmula:</w:t>
      </w:r>
    </w:p>
    <w:p w14:paraId="4A36D646" w14:textId="0F82D9AF" w:rsidR="00A63636" w:rsidRPr="00EF7CF9" w:rsidRDefault="00000000" w:rsidP="00ED65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F01ED6">
      <w:pPr>
        <w:pStyle w:val="ProductList-Body"/>
        <w:rPr>
          <w:b/>
          <w:bCs/>
          <w:color w:val="00188F"/>
        </w:rPr>
      </w:pPr>
      <w:r>
        <w:rPr>
          <w:b/>
          <w:bCs/>
          <w:color w:val="00188F"/>
        </w:rPr>
        <w:lastRenderedPageBreak/>
        <w:t>Os seguintes Níveis de Serviço e Créditos de Serviço são aplicáveis à utilização que o Cliente faz das Operações do Plano de Gestão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A1B0EE"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52F67945" w14:textId="77777777" w:rsidTr="00277097">
        <w:tc>
          <w:tcPr>
            <w:tcW w:w="5400" w:type="dxa"/>
          </w:tcPr>
          <w:p w14:paraId="657033F2" w14:textId="77777777" w:rsidR="00A63636" w:rsidRPr="00EF7CF9" w:rsidRDefault="00A63636" w:rsidP="00F01ED6">
            <w:pPr>
              <w:pStyle w:val="ProductList-OfferingBody"/>
              <w:jc w:val="center"/>
            </w:pPr>
            <w:r>
              <w:t>&lt; 99,9%</w:t>
            </w:r>
          </w:p>
        </w:tc>
        <w:tc>
          <w:tcPr>
            <w:tcW w:w="5400" w:type="dxa"/>
          </w:tcPr>
          <w:p w14:paraId="1C85C580" w14:textId="77777777" w:rsidR="00A63636" w:rsidRPr="00EF7CF9" w:rsidRDefault="00A63636" w:rsidP="00F01ED6">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F01ED6">
            <w:pPr>
              <w:pStyle w:val="ProductList-OfferingBody"/>
              <w:jc w:val="center"/>
            </w:pPr>
            <w:r>
              <w:t>&lt; 99%</w:t>
            </w:r>
          </w:p>
        </w:tc>
        <w:tc>
          <w:tcPr>
            <w:tcW w:w="5400" w:type="dxa"/>
          </w:tcPr>
          <w:p w14:paraId="45D823FB" w14:textId="77777777" w:rsidR="00A63636" w:rsidRPr="00EF7CF9" w:rsidRDefault="00A63636" w:rsidP="00F01ED6">
            <w:pPr>
              <w:pStyle w:val="ProductList-OfferingBody"/>
              <w:jc w:val="center"/>
            </w:pPr>
            <w:r>
              <w:t>25%</w:t>
            </w:r>
          </w:p>
        </w:tc>
      </w:tr>
    </w:tbl>
    <w:bookmarkStart w:id="314" w:name="_Toc412532194"/>
    <w:bookmarkStart w:id="315" w:name="_Toc457821557"/>
    <w:bookmarkStart w:id="316" w:name="_Toc52348964"/>
    <w:bookmarkStart w:id="317" w:name="MachineLearningStudio_BES"/>
    <w:p w14:paraId="71E7821D"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6B9017" w14:textId="31CEA1F5" w:rsidR="00354321" w:rsidRDefault="001D6A79" w:rsidP="00F01ED6">
      <w:pPr>
        <w:pStyle w:val="ProductList-Offering2Heading"/>
        <w:tabs>
          <w:tab w:val="clear" w:pos="360"/>
        </w:tabs>
        <w:outlineLvl w:val="2"/>
      </w:pPr>
      <w:bookmarkStart w:id="318" w:name="_Toc214456839"/>
      <w:bookmarkStart w:id="319" w:name="_Toc136456117"/>
      <w:bookmarkEnd w:id="314"/>
      <w:bookmarkEnd w:id="315"/>
      <w:bookmarkEnd w:id="316"/>
      <w:bookmarkEnd w:id="317"/>
      <w:r>
        <w:t>Azure Managed Grafana</w:t>
      </w:r>
      <w:bookmarkEnd w:id="318"/>
    </w:p>
    <w:p w14:paraId="581F7A2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sidRPr="009B5FEC">
        <w:rPr>
          <w:rFonts w:ascii="Calibri" w:eastAsia="Calibri" w:hAnsi="Calibri" w:cs="Arial"/>
          <w:b/>
          <w:bCs/>
          <w:sz w:val="18"/>
        </w:rPr>
        <w:t>:</w:t>
      </w:r>
    </w:p>
    <w:p w14:paraId="4A9E90DF"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Trabalho</w:t>
      </w:r>
      <w:r>
        <w:rPr>
          <w:rFonts w:ascii="Calibri" w:eastAsia="Calibri" w:hAnsi="Calibri" w:cs="Arial"/>
          <w:sz w:val="18"/>
        </w:rPr>
        <w:t>” designa uma implementação de um ou mais servidores Grafana.</w:t>
      </w:r>
    </w:p>
    <w:p w14:paraId="40289F44"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do Período de Disponibilidade Mensal e Níveis de Serviço para o Azure Managed Grafana</w:t>
      </w:r>
    </w:p>
    <w:p w14:paraId="7172CEE3"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Implementação</w:t>
      </w:r>
      <w:r>
        <w:rPr>
          <w:rFonts w:ascii="Calibri" w:eastAsia="Calibri" w:hAnsi="Calibri" w:cs="Arial"/>
          <w:sz w:val="18"/>
        </w:rPr>
        <w:t>” designa o número total de minutos durante os quais uma determinada Área de Trabalho esteve em execução no Microsoft Azure durante um mês de faturação.</w:t>
      </w:r>
    </w:p>
    <w:p w14:paraId="5C77DCD7"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designa a soma de todos os Minutos de Implementação em todos as Áreas de Trabalho implementadas pelo Cliente numa determinada subscrição do Microsoft Azure num mês de faturação.</w:t>
      </w:r>
    </w:p>
    <w:p w14:paraId="7D60000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Período de Indisponibilidade</w:t>
      </w:r>
      <w:r>
        <w:rPr>
          <w:rFonts w:ascii="Calibri" w:eastAsia="Calibri" w:hAnsi="Calibri" w:cs="Arial"/>
          <w:sz w:val="18"/>
        </w:rPr>
        <w:t>” designa a soma de todos os Minutos de Implementação, em todas as Áreas de Trabalho implementadas pelo Cliente numa determinada subscrição do Microsoft Azure, durante um mês de faturação no qual a Área de Trabalho está indisponível. Um minuto é considerado indisponível para uma determinada Área de Trabalho se todos os pedidos de HTTP contínuos para executar operações nesse minuto resultarem num Código de Erro ou se não devolverem uma resposta.</w:t>
      </w:r>
    </w:p>
    <w:p w14:paraId="66EE7AF6" w14:textId="77777777" w:rsidR="00576F3A" w:rsidRPr="00616092" w:rsidRDefault="00576F3A" w:rsidP="00576F3A">
      <w:pPr>
        <w:tabs>
          <w:tab w:val="left" w:pos="360"/>
          <w:tab w:val="left" w:pos="720"/>
          <w:tab w:val="left" w:pos="1080"/>
        </w:tabs>
        <w:spacing w:after="0" w:line="240" w:lineRule="auto"/>
        <w:rPr>
          <w:rFonts w:ascii="Calibri" w:eastAsia="Calibri" w:hAnsi="Calibri" w:cs="Calibri"/>
          <w:sz w:val="18"/>
          <w:szCs w:val="18"/>
        </w:rPr>
      </w:pPr>
      <w:r w:rsidRPr="00616092">
        <w:rPr>
          <w:rFonts w:ascii="Calibri" w:hAnsi="Calibri" w:cs="Calibri"/>
          <w:sz w:val="18"/>
          <w:szCs w:val="18"/>
        </w:rPr>
        <w:t xml:space="preserve">A </w:t>
      </w:r>
      <w:r w:rsidRPr="00616092">
        <w:rPr>
          <w:rFonts w:ascii="Calibri" w:eastAsia="Calibri" w:hAnsi="Calibri" w:cs="Calibri"/>
          <w:sz w:val="18"/>
          <w:szCs w:val="18"/>
        </w:rPr>
        <w:t>“</w:t>
      </w:r>
      <w:r w:rsidRPr="00616092">
        <w:rPr>
          <w:rFonts w:ascii="Calibri" w:eastAsia="Calibri" w:hAnsi="Calibri" w:cs="Calibri"/>
          <w:b/>
          <w:color w:val="00188F"/>
          <w:sz w:val="18"/>
          <w:szCs w:val="18"/>
        </w:rPr>
        <w:t>Percentagem de Período de Disponibilidade Mensal</w:t>
      </w:r>
      <w:r w:rsidRPr="00616092">
        <w:rPr>
          <w:rFonts w:ascii="Calibri" w:eastAsia="Calibri" w:hAnsi="Calibri" w:cs="Calibri"/>
          <w:sz w:val="18"/>
          <w:szCs w:val="18"/>
        </w:rPr>
        <w:t>” para o Azure Managed Grafana é calculada como o Máximo de Minutos Disponíveis menos o Período de Indisponibilidade a dividir pelo Máximo de Minutos Disponíveis. A Percentagem de Período de Disponibilidade Mensal é representada pela seguinte fórmula:</w:t>
      </w:r>
    </w:p>
    <w:p w14:paraId="4A46C6BF" w14:textId="77777777" w:rsidR="00576F3A" w:rsidRPr="009F364A" w:rsidRDefault="00000000" w:rsidP="0092246B">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BFBB7D4" w14:textId="77777777" w:rsidR="00576F3A" w:rsidRPr="00576F3A" w:rsidRDefault="00576F3A" w:rsidP="00576F3A">
      <w:pPr>
        <w:tabs>
          <w:tab w:val="left" w:pos="360"/>
          <w:tab w:val="left" w:pos="720"/>
          <w:tab w:val="left" w:pos="1080"/>
        </w:tabs>
        <w:spacing w:after="0" w:line="240" w:lineRule="auto"/>
        <w:rPr>
          <w:b/>
          <w:color w:val="00188F"/>
          <w:sz w:val="18"/>
        </w:rPr>
      </w:pPr>
      <w:r w:rsidRPr="00576F3A">
        <w:rPr>
          <w:b/>
          <w:color w:val="00188F"/>
          <w:sz w:val="18"/>
        </w:rPr>
        <w:t>Os seguintes Níveis de Serviço e Créditos de Serviço são aplicáveis à utilização que o Cliente faz do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76F3A" w:rsidRPr="009F364A" w14:paraId="7D252C23" w14:textId="77777777" w:rsidTr="006F6E13">
        <w:trPr>
          <w:tblHeader/>
        </w:trPr>
        <w:tc>
          <w:tcPr>
            <w:tcW w:w="2500" w:type="pct"/>
            <w:shd w:val="clear" w:color="auto" w:fill="0072C6"/>
          </w:tcPr>
          <w:p w14:paraId="32C827F1"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 Mensal</w:t>
            </w:r>
          </w:p>
        </w:tc>
        <w:tc>
          <w:tcPr>
            <w:tcW w:w="2500" w:type="pct"/>
            <w:shd w:val="clear" w:color="auto" w:fill="0072C6"/>
          </w:tcPr>
          <w:p w14:paraId="43B11FFE"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576F3A" w:rsidRPr="009F364A" w14:paraId="332F9267" w14:textId="77777777" w:rsidTr="006F6E13">
        <w:tc>
          <w:tcPr>
            <w:tcW w:w="2500" w:type="pct"/>
          </w:tcPr>
          <w:p w14:paraId="161B24E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A63012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76F3A" w:rsidRPr="009F364A" w14:paraId="6BC01570" w14:textId="77777777" w:rsidTr="006F6E13">
        <w:tc>
          <w:tcPr>
            <w:tcW w:w="2500" w:type="pct"/>
          </w:tcPr>
          <w:p w14:paraId="43104878"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62B8EF45"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EA28697" w14:textId="77777777" w:rsidR="00576F3A" w:rsidRPr="00EF7CF9" w:rsidRDefault="00576F3A" w:rsidP="00576F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8630501" w14:textId="429DCA6D" w:rsidR="00B22605" w:rsidRDefault="00B22605" w:rsidP="00F01ED6">
      <w:pPr>
        <w:pStyle w:val="ProductList-Offering2Heading"/>
        <w:tabs>
          <w:tab w:val="clear" w:pos="360"/>
        </w:tabs>
        <w:outlineLvl w:val="2"/>
      </w:pPr>
      <w:bookmarkStart w:id="320" w:name="_Toc214456840"/>
      <w:r>
        <w:t>Azure Managed Instance para Apache Cassandra</w:t>
      </w:r>
      <w:bookmarkEnd w:id="319"/>
      <w:bookmarkEnd w:id="320"/>
    </w:p>
    <w:p w14:paraId="19C3C8E3" w14:textId="77777777" w:rsidR="00B22605" w:rsidRDefault="00B22605" w:rsidP="00F01ED6">
      <w:pPr>
        <w:pStyle w:val="ProductList-Body"/>
      </w:pPr>
      <w:r>
        <w:rPr>
          <w:b/>
          <w:color w:val="00188F"/>
        </w:rPr>
        <w:t>Definições Adicionais</w:t>
      </w:r>
      <w:r w:rsidRPr="00473DD3">
        <w:rPr>
          <w:b/>
          <w:color w:val="00188F"/>
        </w:rPr>
        <w:t>:</w:t>
      </w:r>
    </w:p>
    <w:p w14:paraId="06FE77EC" w14:textId="7B55CD6E" w:rsidR="00B22605" w:rsidRPr="001C1F84" w:rsidRDefault="00380305" w:rsidP="00F01ED6">
      <w:pPr>
        <w:pStyle w:val="ProductList-Body"/>
        <w:rPr>
          <w:spacing w:val="-3"/>
        </w:rPr>
      </w:pPr>
      <w:r>
        <w:rPr>
          <w:spacing w:val="-3"/>
        </w:rPr>
        <w:t>“</w:t>
      </w:r>
      <w:r w:rsidR="00B22605" w:rsidRPr="001C1F84">
        <w:rPr>
          <w:b/>
          <w:color w:val="00188F"/>
          <w:spacing w:val="-3"/>
        </w:rPr>
        <w:t>Zona de Disponibilidade</w:t>
      </w:r>
      <w:r>
        <w:rPr>
          <w:spacing w:val="-3"/>
        </w:rPr>
        <w:t>”</w:t>
      </w:r>
      <w:r w:rsidR="00B22605" w:rsidRPr="001C1F84">
        <w:rPr>
          <w:spacing w:val="-3"/>
        </w:rPr>
        <w:t xml:space="preserve"> designa uma área isolada de falhas numa região do Azure que providencia alimentação, refrigeração e rede redundantes.</w:t>
      </w:r>
    </w:p>
    <w:p w14:paraId="6B4B48D6" w14:textId="089EEFF1" w:rsidR="00B22605" w:rsidRDefault="00380305" w:rsidP="00F01ED6">
      <w:pPr>
        <w:pStyle w:val="ProductList-Body"/>
      </w:pPr>
      <w:r>
        <w:t>“</w:t>
      </w:r>
      <w:r w:rsidR="00B22605">
        <w:rPr>
          <w:b/>
          <w:color w:val="00188F"/>
        </w:rPr>
        <w:t>Centro de Dados Cassandra</w:t>
      </w:r>
      <w:r>
        <w:t>”</w:t>
      </w:r>
      <w:r w:rsidR="00B22605">
        <w:t xml:space="preserve"> designa três ou mais Nós implementados numa região através do Azure Managed Instance para Apache Cassandra com uma configuração comum e o nome do Centro de Dados Cassandra.</w:t>
      </w:r>
    </w:p>
    <w:p w14:paraId="42362B1C" w14:textId="3CB463B3" w:rsidR="00B22605" w:rsidRDefault="00380305" w:rsidP="00F01ED6">
      <w:pPr>
        <w:pStyle w:val="ProductList-Body"/>
      </w:pPr>
      <w:r>
        <w:t>“</w:t>
      </w:r>
      <w:r w:rsidR="00B22605">
        <w:rPr>
          <w:b/>
          <w:color w:val="00188F"/>
        </w:rPr>
        <w:t>Nó</w:t>
      </w:r>
      <w:r>
        <w:t>”</w:t>
      </w:r>
      <w:r w:rsidR="00B22605">
        <w:t xml:space="preserve"> designa uma única máquina virtual implementada numa região através do Azure Managed Instance para Apache Cassandra.</w:t>
      </w:r>
    </w:p>
    <w:p w14:paraId="3320A445" w14:textId="5CFF9281" w:rsidR="00B22605" w:rsidRDefault="00380305" w:rsidP="00F01ED6">
      <w:pPr>
        <w:pStyle w:val="ProductList-Body"/>
      </w:pPr>
      <w:r>
        <w:t>“</w:t>
      </w:r>
      <w:r w:rsidR="00B22605">
        <w:rPr>
          <w:b/>
          <w:color w:val="00188F"/>
        </w:rPr>
        <w:t>Configuração de Rede Compatível</w:t>
      </w:r>
      <w:r>
        <w:t>”</w:t>
      </w:r>
      <w:r w:rsidR="00B22605">
        <w:t xml:space="preserve"> designa o conjunto completo de configurações necessárias da Rede Virtual do Microsoft Azure que aloja o</w:t>
      </w:r>
      <w:r w:rsidR="005E5DC2">
        <w:t> </w:t>
      </w:r>
      <w:r w:rsidR="00B22605">
        <w:t>Centro de Dados Cassandra, incluindo as regras de segurança de entrada do Grupo de Segurança de Rede do Microsoft Azure e as Redes Definidas pelo Utilizador obrigatórias do Microsoft Azure da Sub-rede da Rede Virtual do Microsoft Azure que aloja o Centro de Dados Cassandra, o</w:t>
      </w:r>
      <w:r w:rsidR="005E5DC2">
        <w:t> </w:t>
      </w:r>
      <w:r w:rsidR="00B22605">
        <w:t>que permite um fluxo ininterrupto do trânsito de gestão e o tráfego de dados para o gateway dedicado colocado na Sub-rede da Rede Virtual do Microsoft Azure Virtual que aloja o Centro de Dados Cassandra.</w:t>
      </w:r>
    </w:p>
    <w:p w14:paraId="7A37CF11" w14:textId="1F91BE2E" w:rsidR="00B22605" w:rsidRPr="00FC0DFA" w:rsidRDefault="00B22605" w:rsidP="00F01ED6">
      <w:pPr>
        <w:pStyle w:val="ProductList-Body"/>
        <w:rPr>
          <w:b/>
          <w:color w:val="00188F"/>
        </w:rPr>
      </w:pPr>
      <w:r>
        <w:rPr>
          <w:b/>
          <w:color w:val="00188F"/>
        </w:rPr>
        <w:t>Cálculo do Período de Disponibilidade e Níveis de Serviço para o Azure Managed Instance para Centros de Dados Cassandra</w:t>
      </w:r>
    </w:p>
    <w:p w14:paraId="4A0FB869" w14:textId="6FB65DFC" w:rsidR="00B22605" w:rsidRDefault="00380305" w:rsidP="00F01ED6">
      <w:pPr>
        <w:pStyle w:val="ProductList-Body"/>
      </w:pPr>
      <w:r>
        <w:t>“</w:t>
      </w:r>
      <w:r w:rsidR="00B22605">
        <w:rPr>
          <w:b/>
          <w:color w:val="00188F"/>
        </w:rPr>
        <w:t>Máximo de Minutos Disponíveis</w:t>
      </w:r>
      <w:r>
        <w:t>”</w:t>
      </w:r>
      <w:r w:rsidR="00B22605">
        <w:t xml:space="preserve"> designa o total de minutos acumulados durante um mês de faturação para todos os Centros de Dados Cassandra que têm três ou mais Nós implementados. O Máximo de Minutos Disponíveis é calculado a partir do momento em que pelo menos três Nós no mesmo Centro de Dados Cassandra foram iniciadas como resultado da ação iniciada pelo Cliente até ao momento em que o Cliente iniciou uma ação que resultaria na interrupção ou eliminação do Centro de Dados Cassandra.</w:t>
      </w:r>
    </w:p>
    <w:p w14:paraId="58226A16" w14:textId="78135504" w:rsidR="00B22605" w:rsidRDefault="00380305" w:rsidP="00F01ED6">
      <w:pPr>
        <w:pStyle w:val="ProductList-Body"/>
      </w:pPr>
      <w:r>
        <w:t>“</w:t>
      </w:r>
      <w:r w:rsidR="00B22605">
        <w:rPr>
          <w:b/>
          <w:color w:val="00188F"/>
        </w:rPr>
        <w:t>Período de Indisponibilidade</w:t>
      </w:r>
      <w:r>
        <w:t>”</w:t>
      </w:r>
      <w:r w:rsidR="00B22605">
        <w:t xml:space="preserve"> é o total de minutos acumulados que fazem parte do Máximo de Minutos Disponíveis que continuamente não têm conectividade para um quorum de Nós no Centro de Dados Cassandra numa região.</w:t>
      </w:r>
    </w:p>
    <w:p w14:paraId="3B4CB4F2" w14:textId="5D6B0B35" w:rsidR="00B22605" w:rsidRDefault="00B22605" w:rsidP="00F01ED6">
      <w:pPr>
        <w:pStyle w:val="ProductList-Body"/>
      </w:pPr>
      <w:r>
        <w:t xml:space="preserve">A </w:t>
      </w:r>
      <w:r w:rsidR="00380305">
        <w:t>“</w:t>
      </w:r>
      <w:r>
        <w:rPr>
          <w:b/>
          <w:color w:val="00188F"/>
        </w:rPr>
        <w:t>Percentagem de Período de Disponibilidade</w:t>
      </w:r>
      <w:r w:rsidR="00380305">
        <w:t>”</w:t>
      </w:r>
      <w:r>
        <w:t xml:space="preserve"> para Centros de Dados Cassandra é calculada como o Máximo de Minutos Disponíveis menos o</w:t>
      </w:r>
      <w:r w:rsidR="005E5DC2">
        <w:t> </w:t>
      </w:r>
      <w:r>
        <w:t>Período de Indisponibilidade a dividir pelo Máximo de Minutos Disponíveis num Período Aplicável para uma determinada subscrição do Microsoft Azure. A Percentagem de Período de Disponibilidade é representada pela seguinte fórmula:</w:t>
      </w:r>
    </w:p>
    <w:p w14:paraId="08C6716C" w14:textId="77777777" w:rsidR="00B22605" w:rsidRDefault="00B22605" w:rsidP="00F01ED6">
      <w:pPr>
        <w:pStyle w:val="ProductList-Body"/>
      </w:pPr>
    </w:p>
    <w:p w14:paraId="3FF9F6FA" w14:textId="0515E3BC" w:rsidR="00B22605"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F01ED6">
      <w:pPr>
        <w:pStyle w:val="ProductList-Body"/>
        <w:rPr>
          <w:b/>
          <w:color w:val="00188F"/>
        </w:rPr>
      </w:pPr>
      <w:r>
        <w:rPr>
          <w:b/>
          <w:color w:val="00188F"/>
        </w:rPr>
        <w:t>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D4B6B">
        <w:trPr>
          <w:tblHeader/>
        </w:trPr>
        <w:tc>
          <w:tcPr>
            <w:tcW w:w="5400" w:type="dxa"/>
            <w:shd w:val="clear" w:color="auto" w:fill="0072C6"/>
          </w:tcPr>
          <w:p w14:paraId="34417DF9" w14:textId="15D21924"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A96D1"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1D4B6B">
        <w:tc>
          <w:tcPr>
            <w:tcW w:w="5400" w:type="dxa"/>
          </w:tcPr>
          <w:p w14:paraId="3902C068" w14:textId="77777777" w:rsidR="00B22605" w:rsidRPr="00EF7CF9" w:rsidRDefault="00B22605" w:rsidP="00F01ED6">
            <w:pPr>
              <w:pStyle w:val="ProductList-OfferingBody"/>
              <w:jc w:val="center"/>
            </w:pPr>
            <w:r>
              <w:t>&lt; 99,95%</w:t>
            </w:r>
          </w:p>
        </w:tc>
        <w:tc>
          <w:tcPr>
            <w:tcW w:w="5400" w:type="dxa"/>
          </w:tcPr>
          <w:p w14:paraId="399C359E" w14:textId="77777777" w:rsidR="00B22605" w:rsidRPr="00EF7CF9" w:rsidRDefault="00B22605" w:rsidP="00F01ED6">
            <w:pPr>
              <w:pStyle w:val="ProductList-OfferingBody"/>
              <w:jc w:val="center"/>
            </w:pPr>
            <w:r>
              <w:t>10%</w:t>
            </w:r>
          </w:p>
        </w:tc>
      </w:tr>
      <w:tr w:rsidR="00B22605" w:rsidRPr="00B44CF9" w14:paraId="3DA37607" w14:textId="77777777" w:rsidTr="001D4B6B">
        <w:tc>
          <w:tcPr>
            <w:tcW w:w="5400" w:type="dxa"/>
          </w:tcPr>
          <w:p w14:paraId="79406AF7" w14:textId="77777777" w:rsidR="00B22605" w:rsidRPr="00EF7CF9" w:rsidRDefault="00B22605" w:rsidP="00F01ED6">
            <w:pPr>
              <w:pStyle w:val="ProductList-OfferingBody"/>
              <w:jc w:val="center"/>
            </w:pPr>
            <w:r>
              <w:t>&lt; 99%</w:t>
            </w:r>
          </w:p>
        </w:tc>
        <w:tc>
          <w:tcPr>
            <w:tcW w:w="5400" w:type="dxa"/>
          </w:tcPr>
          <w:p w14:paraId="375471EE" w14:textId="77777777" w:rsidR="00B22605" w:rsidRPr="00EF7CF9" w:rsidRDefault="00B22605" w:rsidP="00F01ED6">
            <w:pPr>
              <w:pStyle w:val="ProductList-OfferingBody"/>
              <w:jc w:val="center"/>
            </w:pPr>
            <w:r>
              <w:t>25%</w:t>
            </w:r>
          </w:p>
        </w:tc>
      </w:tr>
    </w:tbl>
    <w:p w14:paraId="1ADBEB22" w14:textId="77777777" w:rsidR="00B22605" w:rsidRDefault="00B22605" w:rsidP="005D1414">
      <w:pPr>
        <w:pStyle w:val="ProductList-Body"/>
        <w:spacing w:before="120"/>
        <w:rPr>
          <w:b/>
          <w:color w:val="00188F"/>
        </w:rPr>
      </w:pPr>
      <w:r>
        <w:rPr>
          <w:b/>
          <w:color w:val="00188F"/>
        </w:rPr>
        <w:t>Para um Centro de Dados Cassandra implementado com suporte para a Zona de Disponibilidade ativada numa região do Azure que suporta Zonas de Disponibilidade, 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D4B6B">
        <w:trPr>
          <w:tblHeader/>
        </w:trPr>
        <w:tc>
          <w:tcPr>
            <w:tcW w:w="5400" w:type="dxa"/>
            <w:shd w:val="clear" w:color="auto" w:fill="0072C6"/>
          </w:tcPr>
          <w:p w14:paraId="01D8304D" w14:textId="381B2A68"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DC1AF3F"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1D4B6B">
        <w:tc>
          <w:tcPr>
            <w:tcW w:w="5400" w:type="dxa"/>
          </w:tcPr>
          <w:p w14:paraId="6E5AA78B" w14:textId="77777777" w:rsidR="00B22605" w:rsidRPr="00EF7CF9" w:rsidRDefault="00B22605" w:rsidP="00F01ED6">
            <w:pPr>
              <w:pStyle w:val="ProductList-OfferingBody"/>
              <w:jc w:val="center"/>
            </w:pPr>
            <w:r>
              <w:t>&lt; 99,99%</w:t>
            </w:r>
          </w:p>
        </w:tc>
        <w:tc>
          <w:tcPr>
            <w:tcW w:w="5400" w:type="dxa"/>
          </w:tcPr>
          <w:p w14:paraId="26DA7403" w14:textId="77777777" w:rsidR="00B22605" w:rsidRPr="00EF7CF9" w:rsidRDefault="00B22605" w:rsidP="00F01ED6">
            <w:pPr>
              <w:pStyle w:val="ProductList-OfferingBody"/>
              <w:jc w:val="center"/>
            </w:pPr>
            <w:r>
              <w:t>10%</w:t>
            </w:r>
          </w:p>
        </w:tc>
      </w:tr>
      <w:tr w:rsidR="00B22605" w:rsidRPr="00B44CF9" w14:paraId="5340A779" w14:textId="77777777" w:rsidTr="001D4B6B">
        <w:tc>
          <w:tcPr>
            <w:tcW w:w="5400" w:type="dxa"/>
          </w:tcPr>
          <w:p w14:paraId="3A515058" w14:textId="77777777" w:rsidR="00B22605" w:rsidRPr="00EF7CF9" w:rsidRDefault="00B22605" w:rsidP="00F01ED6">
            <w:pPr>
              <w:pStyle w:val="ProductList-OfferingBody"/>
              <w:jc w:val="center"/>
            </w:pPr>
            <w:r>
              <w:t>&lt; 99%</w:t>
            </w:r>
          </w:p>
        </w:tc>
        <w:tc>
          <w:tcPr>
            <w:tcW w:w="5400" w:type="dxa"/>
          </w:tcPr>
          <w:p w14:paraId="5C841C5B" w14:textId="77777777" w:rsidR="00B22605" w:rsidRPr="00EF7CF9" w:rsidRDefault="00B22605" w:rsidP="00F01ED6">
            <w:pPr>
              <w:pStyle w:val="ProductList-OfferingBody"/>
              <w:jc w:val="center"/>
            </w:pPr>
            <w:r>
              <w:t>25%</w:t>
            </w:r>
          </w:p>
        </w:tc>
      </w:tr>
    </w:tbl>
    <w:p w14:paraId="79927BDB" w14:textId="3C25ECEF" w:rsidR="007553FE" w:rsidRPr="009A3360" w:rsidRDefault="007553FE" w:rsidP="005D1414">
      <w:pPr>
        <w:pStyle w:val="ProductList-Body"/>
        <w:spacing w:before="120"/>
        <w:rPr>
          <w:rFonts w:ascii="Calibri" w:hAnsi="Calibri" w:cs="Calibri"/>
          <w:b/>
          <w:bCs/>
          <w:color w:val="00188F"/>
        </w:rPr>
      </w:pPr>
      <w:r>
        <w:rPr>
          <w:rFonts w:ascii="Calibri" w:hAnsi="Calibri" w:cs="Calibri"/>
          <w:b/>
          <w:bCs/>
          <w:color w:val="00188F"/>
        </w:rPr>
        <w:t>Para um Cluster Cassandra implementado com datacenters em várias regiões e na Zona de Disponibilidade ativada numa região do Azure que suporta Zonas de Disponibilidade, os seguintes Níveis de Serviço e Créditos de Serviço são aplicáveis à utilização que o Cliente faz de um Datacenter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7553FE" w:rsidRPr="006B307B" w14:paraId="5813E1AD" w14:textId="77777777" w:rsidTr="00661DF9">
        <w:trPr>
          <w:trHeight w:val="265"/>
          <w:tblHeader/>
        </w:trPr>
        <w:tc>
          <w:tcPr>
            <w:tcW w:w="5234" w:type="dxa"/>
            <w:shd w:val="clear" w:color="auto" w:fill="0072C6"/>
          </w:tcPr>
          <w:p w14:paraId="03A673F4"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de Múltiplas Localizações de Escrita</w:t>
            </w:r>
          </w:p>
        </w:tc>
        <w:tc>
          <w:tcPr>
            <w:tcW w:w="5566" w:type="dxa"/>
            <w:shd w:val="clear" w:color="auto" w:fill="0072C6"/>
          </w:tcPr>
          <w:p w14:paraId="23BB00A1"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304BAC88" w14:textId="77777777" w:rsidTr="00661DF9">
        <w:trPr>
          <w:trHeight w:val="284"/>
        </w:trPr>
        <w:tc>
          <w:tcPr>
            <w:tcW w:w="5234" w:type="dxa"/>
          </w:tcPr>
          <w:p w14:paraId="0DC584BD" w14:textId="77777777" w:rsidR="007553FE" w:rsidRPr="00762BE9" w:rsidRDefault="007553FE" w:rsidP="00661DF9">
            <w:pPr>
              <w:pStyle w:val="ProductList-OfferingBody"/>
              <w:jc w:val="center"/>
              <w:rPr>
                <w:rFonts w:ascii="Calibri" w:hAnsi="Calibri" w:cs="Calibri"/>
              </w:rPr>
            </w:pPr>
            <w:r>
              <w:rPr>
                <w:rFonts w:ascii="Calibri" w:hAnsi="Calibri" w:cs="Calibri"/>
              </w:rPr>
              <w:t>&lt; 99,999%</w:t>
            </w:r>
          </w:p>
        </w:tc>
        <w:tc>
          <w:tcPr>
            <w:tcW w:w="5566" w:type="dxa"/>
          </w:tcPr>
          <w:p w14:paraId="6D8206CC"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3F6A3186" w14:textId="77777777" w:rsidTr="00661DF9">
        <w:trPr>
          <w:trHeight w:val="265"/>
        </w:trPr>
        <w:tc>
          <w:tcPr>
            <w:tcW w:w="5234" w:type="dxa"/>
          </w:tcPr>
          <w:p w14:paraId="6226B0F3"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66" w:type="dxa"/>
          </w:tcPr>
          <w:p w14:paraId="015F486D"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1843A29A" w14:textId="77777777" w:rsidR="007553FE" w:rsidRPr="009A3360" w:rsidRDefault="007553FE" w:rsidP="005D1414">
      <w:pPr>
        <w:pStyle w:val="ProductList-Body"/>
        <w:keepNext/>
        <w:spacing w:before="120"/>
        <w:rPr>
          <w:rFonts w:ascii="Calibri" w:hAnsi="Calibri" w:cs="Calibri"/>
          <w:color w:val="0072C6"/>
        </w:rPr>
      </w:pPr>
      <w:r>
        <w:rPr>
          <w:rFonts w:ascii="Calibri" w:hAnsi="Calibri" w:cs="Calibri"/>
          <w:b/>
          <w:color w:val="00188F"/>
        </w:rPr>
        <w:t>Para um Datacenter Cassandra implementado com Região Única e Zona de Disponibilidade NÃO está ativada</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67A0D834" w14:textId="77777777" w:rsidTr="00661DF9">
        <w:trPr>
          <w:tblHeader/>
        </w:trPr>
        <w:tc>
          <w:tcPr>
            <w:tcW w:w="5220" w:type="dxa"/>
            <w:shd w:val="clear" w:color="auto" w:fill="0072C6"/>
          </w:tcPr>
          <w:p w14:paraId="75C1B666"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w:t>
            </w:r>
          </w:p>
        </w:tc>
        <w:tc>
          <w:tcPr>
            <w:tcW w:w="5579" w:type="dxa"/>
            <w:shd w:val="clear" w:color="auto" w:fill="0072C6"/>
          </w:tcPr>
          <w:p w14:paraId="237F59B2"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E038432" w14:textId="77777777" w:rsidTr="00661DF9">
        <w:tc>
          <w:tcPr>
            <w:tcW w:w="5220" w:type="dxa"/>
          </w:tcPr>
          <w:p w14:paraId="20933B3A"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4B53EEF8"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2B5820EB" w14:textId="77777777" w:rsidTr="00661DF9">
        <w:tc>
          <w:tcPr>
            <w:tcW w:w="5220" w:type="dxa"/>
          </w:tcPr>
          <w:p w14:paraId="17F365C8"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6F94679F"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159D3965" w14:textId="77777777" w:rsidR="007553FE" w:rsidRPr="00762BE9" w:rsidRDefault="007553FE" w:rsidP="005D1414">
      <w:pPr>
        <w:pStyle w:val="ProductList-Body"/>
        <w:keepNext/>
        <w:spacing w:before="120"/>
        <w:rPr>
          <w:rFonts w:ascii="Calibri" w:hAnsi="Calibri" w:cs="Calibri"/>
          <w:color w:val="0072C6"/>
        </w:rPr>
      </w:pPr>
      <w:r>
        <w:rPr>
          <w:rFonts w:ascii="Calibri" w:hAnsi="Calibri" w:cs="Calibri"/>
          <w:b/>
          <w:color w:val="00188F"/>
        </w:rPr>
        <w:t xml:space="preserve">Para um Datacenter Cassandra implementado numa Região Única com Zona de Disponibilidade ativada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50CD58B5" w14:textId="77777777" w:rsidTr="00661DF9">
        <w:trPr>
          <w:tblHeader/>
        </w:trPr>
        <w:tc>
          <w:tcPr>
            <w:tcW w:w="5220" w:type="dxa"/>
            <w:shd w:val="clear" w:color="auto" w:fill="0072C6"/>
          </w:tcPr>
          <w:p w14:paraId="4BAFA10C"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(SR-AZ)</w:t>
            </w:r>
          </w:p>
        </w:tc>
        <w:tc>
          <w:tcPr>
            <w:tcW w:w="5579" w:type="dxa"/>
            <w:shd w:val="clear" w:color="auto" w:fill="0072C6"/>
          </w:tcPr>
          <w:p w14:paraId="2BC21C88"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FF1B091" w14:textId="77777777" w:rsidTr="00661DF9">
        <w:tc>
          <w:tcPr>
            <w:tcW w:w="5220" w:type="dxa"/>
          </w:tcPr>
          <w:p w14:paraId="70D106A5"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1DF8E18D"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B44CF9" w14:paraId="0918BF62" w14:textId="77777777" w:rsidTr="00661DF9">
        <w:tc>
          <w:tcPr>
            <w:tcW w:w="5220" w:type="dxa"/>
          </w:tcPr>
          <w:p w14:paraId="260F9C6B"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3FF08485"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E99E71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147E3E0" w14:textId="08506889" w:rsidR="004005AF" w:rsidRDefault="004005AF" w:rsidP="00F01ED6">
      <w:pPr>
        <w:pStyle w:val="ProductList-Offering2Heading"/>
        <w:tabs>
          <w:tab w:val="clear" w:pos="360"/>
          <w:tab w:val="clear" w:pos="720"/>
          <w:tab w:val="clear" w:pos="1080"/>
        </w:tabs>
        <w:outlineLvl w:val="2"/>
      </w:pPr>
      <w:bookmarkStart w:id="321" w:name="_Toc214456841"/>
      <w:r>
        <w:t>Azure Maps</w:t>
      </w:r>
      <w:bookmarkEnd w:id="306"/>
      <w:bookmarkEnd w:id="307"/>
      <w:bookmarkEnd w:id="321"/>
    </w:p>
    <w:p w14:paraId="1DFE050F" w14:textId="77777777" w:rsidR="004005AF" w:rsidRPr="00DA6241" w:rsidRDefault="004005AF" w:rsidP="00F01ED6">
      <w:pPr>
        <w:pStyle w:val="ProductList-Body"/>
      </w:pPr>
      <w:r>
        <w:rPr>
          <w:b/>
          <w:color w:val="00188F"/>
        </w:rPr>
        <w:t>Definições Adicionais</w:t>
      </w:r>
      <w:r w:rsidRPr="00473DD3">
        <w:rPr>
          <w:b/>
          <w:color w:val="00188F"/>
        </w:rPr>
        <w:t>:</w:t>
      </w:r>
    </w:p>
    <w:p w14:paraId="3514CD84" w14:textId="522506E8" w:rsidR="004005AF" w:rsidRDefault="00380305" w:rsidP="00F01ED6">
      <w:pPr>
        <w:spacing w:after="0" w:line="240" w:lineRule="auto"/>
        <w:rPr>
          <w:sz w:val="18"/>
        </w:rPr>
      </w:pPr>
      <w:r>
        <w:rPr>
          <w:sz w:val="18"/>
        </w:rPr>
        <w:t>“</w:t>
      </w:r>
      <w:r w:rsidR="004005AF">
        <w:rPr>
          <w:b/>
          <w:color w:val="00188F"/>
          <w:sz w:val="18"/>
        </w:rPr>
        <w:t>Total de Tentativas de Transação</w:t>
      </w:r>
      <w:r>
        <w:rPr>
          <w:sz w:val="18"/>
        </w:rPr>
        <w:t>”</w:t>
      </w:r>
      <w:r w:rsidR="004005AF">
        <w:rPr>
          <w:rFonts w:eastAsiaTheme="minorEastAsia"/>
          <w:sz w:val="18"/>
          <w:szCs w:val="18"/>
        </w:rPr>
        <w:t xml:space="preserve"> </w:t>
      </w:r>
      <w:r w:rsidR="004005AF">
        <w:rPr>
          <w:sz w:val="18"/>
        </w:rPr>
        <w:t>designa o número total de pedidos da API autenticadas efetuados pelo Cliente para uma determinada API do</w:t>
      </w:r>
      <w:r w:rsidR="003671E6">
        <w:rPr>
          <w:sz w:val="18"/>
        </w:rPr>
        <w:t> </w:t>
      </w:r>
      <w:r w:rsidR="004005AF">
        <w:rPr>
          <w:sz w:val="18"/>
        </w:rPr>
        <w:t>Azure Map durante um Período Aplicável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7A1D1C36" w14:textId="5B09B62A" w:rsidR="004005AF" w:rsidRPr="001E2554" w:rsidRDefault="00380305" w:rsidP="00F01ED6">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designa o conjunto de todos os pedidos no Total de Tentativas de Transação que resultam num Código de Erro ou que, de</w:t>
      </w:r>
      <w:r w:rsidR="003671E6">
        <w:rPr>
          <w:sz w:val="18"/>
        </w:rPr>
        <w:t> </w:t>
      </w:r>
      <w:r w:rsidR="004005AF">
        <w:rPr>
          <w:sz w:val="18"/>
        </w:rPr>
        <w:t>outro modo, não devolvem um Código de Êxito no prazo de 60 segundos após a receção por parte do Serviço.</w:t>
      </w:r>
    </w:p>
    <w:p w14:paraId="49D04CF6" w14:textId="30DAB182" w:rsidR="004005AF" w:rsidRDefault="004005AF" w:rsidP="00F01ED6">
      <w:pPr>
        <w:pStyle w:val="ProductList-Body"/>
      </w:pPr>
      <w:r>
        <w:t xml:space="preserve">A </w:t>
      </w:r>
      <w:r w:rsidR="00380305" w:rsidRPr="00CB7596">
        <w:t>“</w:t>
      </w:r>
      <w:r>
        <w:rPr>
          <w:b/>
          <w:color w:val="00188F"/>
        </w:rPr>
        <w:t>Percentagem de Período de Disponibilidade</w:t>
      </w:r>
      <w:r w:rsidR="00380305">
        <w:t>”</w:t>
      </w:r>
      <w:r>
        <w:t xml:space="preserve"> para uma determinada API do Azure Map é calculada como o Total de Tentativas de Transação menos as Transações com Falha a dividir pelo Total de Tentativas de Transação multiplicado por 100.</w:t>
      </w:r>
    </w:p>
    <w:p w14:paraId="57255142" w14:textId="53D0E6DB" w:rsidR="004005AF" w:rsidRDefault="004005AF" w:rsidP="00F01ED6">
      <w:pPr>
        <w:pStyle w:val="ProductList-Body"/>
      </w:pPr>
      <w:r>
        <w:t>A Percentagem de Período de Disponibilidade é calculada através da seguinte fórmula:</w:t>
      </w:r>
    </w:p>
    <w:p w14:paraId="3AF54155" w14:textId="6F3A2F1C" w:rsidR="004005AF" w:rsidRPr="005D67E8" w:rsidRDefault="00000000" w:rsidP="002A5D1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F01ED6">
      <w:pPr>
        <w:pStyle w:val="ProductList-Body"/>
        <w:keepNext/>
      </w:pPr>
      <w:r>
        <w:rPr>
          <w:b/>
          <w:color w:val="00188F"/>
        </w:rPr>
        <w:t>Os seguintes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shd w:val="clear" w:color="auto" w:fill="0072C6"/>
          </w:tcPr>
          <w:p w14:paraId="1CA81D95" w14:textId="77777777" w:rsidR="004005AF" w:rsidRPr="001A0074" w:rsidRDefault="004005AF" w:rsidP="00F01ED6">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277097">
        <w:tc>
          <w:tcPr>
            <w:tcW w:w="5400" w:type="dxa"/>
          </w:tcPr>
          <w:p w14:paraId="6ADC35A4" w14:textId="77777777" w:rsidR="004005AF" w:rsidRPr="0076238C" w:rsidRDefault="004005AF" w:rsidP="00F01ED6">
            <w:pPr>
              <w:pStyle w:val="ProductList-OfferingBody"/>
              <w:keepNext/>
              <w:jc w:val="center"/>
            </w:pPr>
            <w:r>
              <w:t>&lt; 99,9%</w:t>
            </w:r>
          </w:p>
        </w:tc>
        <w:tc>
          <w:tcPr>
            <w:tcW w:w="5400" w:type="dxa"/>
          </w:tcPr>
          <w:p w14:paraId="1D02CA4B" w14:textId="77777777" w:rsidR="004005AF" w:rsidRPr="0076238C" w:rsidRDefault="004005AF" w:rsidP="00F01ED6">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F01ED6">
            <w:pPr>
              <w:pStyle w:val="ProductList-OfferingBody"/>
              <w:keepNext/>
              <w:jc w:val="center"/>
            </w:pPr>
            <w:r>
              <w:t>&lt; 99%</w:t>
            </w:r>
          </w:p>
        </w:tc>
        <w:tc>
          <w:tcPr>
            <w:tcW w:w="5400" w:type="dxa"/>
          </w:tcPr>
          <w:p w14:paraId="7EDA3102" w14:textId="77777777" w:rsidR="004005AF" w:rsidRPr="0076238C" w:rsidRDefault="004005AF" w:rsidP="00F01ED6">
            <w:pPr>
              <w:pStyle w:val="ProductList-OfferingBody"/>
              <w:keepNext/>
              <w:jc w:val="center"/>
            </w:pPr>
            <w:r>
              <w:t>25%</w:t>
            </w:r>
          </w:p>
        </w:tc>
      </w:tr>
    </w:tbl>
    <w:bookmarkStart w:id="322" w:name="_Toc457821559"/>
    <w:bookmarkStart w:id="323" w:name="_Toc52348966"/>
    <w:bookmarkStart w:id="324" w:name="_Toc52348936"/>
    <w:bookmarkEnd w:id="308"/>
    <w:p w14:paraId="3CFA9B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125996" w14:textId="77777777" w:rsidR="0005465C" w:rsidRPr="00EF7CF9" w:rsidRDefault="0005465C" w:rsidP="00F01ED6">
      <w:pPr>
        <w:pStyle w:val="ProductList-Offering2Heading"/>
        <w:tabs>
          <w:tab w:val="clear" w:pos="360"/>
          <w:tab w:val="clear" w:pos="720"/>
          <w:tab w:val="clear" w:pos="1080"/>
        </w:tabs>
        <w:outlineLvl w:val="2"/>
      </w:pPr>
      <w:bookmarkStart w:id="325" w:name="_Toc214456842"/>
      <w:r>
        <w:lastRenderedPageBreak/>
        <w:t>Serviços de Multimédia</w:t>
      </w:r>
      <w:bookmarkEnd w:id="322"/>
      <w:bookmarkEnd w:id="323"/>
      <w:bookmarkEnd w:id="325"/>
    </w:p>
    <w:p w14:paraId="14038FDC" w14:textId="77777777" w:rsidR="0005465C" w:rsidRPr="00EF7CF9" w:rsidRDefault="0005465C" w:rsidP="00F01ED6">
      <w:pPr>
        <w:pStyle w:val="ProductList-Body"/>
      </w:pPr>
      <w:r>
        <w:rPr>
          <w:b/>
          <w:color w:val="00188F"/>
        </w:rPr>
        <w:t>Definições Adicionais</w:t>
      </w:r>
      <w:r w:rsidRPr="00473DD3">
        <w:rPr>
          <w:b/>
          <w:color w:val="00188F"/>
        </w:rPr>
        <w:t>:</w:t>
      </w:r>
    </w:p>
    <w:p w14:paraId="67B29F85" w14:textId="7855AA4F" w:rsidR="0005465C" w:rsidRPr="00ED4527" w:rsidRDefault="00380305" w:rsidP="00F01ED6">
      <w:pPr>
        <w:pStyle w:val="ProductList-Body"/>
        <w:rPr>
          <w:color w:val="000000" w:themeColor="text1"/>
        </w:rPr>
      </w:pPr>
      <w:r w:rsidRPr="00CB7596">
        <w:t>“</w:t>
      </w:r>
      <w:r w:rsidR="0005465C">
        <w:rPr>
          <w:b/>
          <w:bCs/>
          <w:color w:val="00188F"/>
        </w:rPr>
        <w:t>Largura de Banda de Saída Alocada</w:t>
      </w:r>
      <w:r>
        <w:rPr>
          <w:color w:val="000000" w:themeColor="text1"/>
        </w:rPr>
        <w:t>”</w:t>
      </w:r>
      <w:r w:rsidR="0005465C">
        <w:rPr>
          <w:color w:val="000000" w:themeColor="text1"/>
        </w:rPr>
        <w:t xml:space="preserve"> é a quantidade de largura de banda configurada pelo Cliente no Portal de Gestão para um Serviço de Multimédia. A Largura de Banda de Saída Alocada pode ser identificada como </w:t>
      </w:r>
      <w:r>
        <w:rPr>
          <w:color w:val="000000" w:themeColor="text1"/>
        </w:rPr>
        <w:t>“</w:t>
      </w:r>
      <w:r w:rsidR="0005465C">
        <w:rPr>
          <w:color w:val="000000" w:themeColor="text1"/>
        </w:rPr>
        <w:t>Unidades de Transmissão em Fluxo</w:t>
      </w:r>
      <w:r>
        <w:rPr>
          <w:color w:val="000000" w:themeColor="text1"/>
        </w:rPr>
        <w:t>”</w:t>
      </w:r>
      <w:r w:rsidR="0005465C">
        <w:rPr>
          <w:color w:val="000000" w:themeColor="text1"/>
        </w:rPr>
        <w:t xml:space="preserve"> ou um nome semelhante no</w:t>
      </w:r>
      <w:r w:rsidR="00E4415E">
        <w:rPr>
          <w:color w:val="000000" w:themeColor="text1"/>
        </w:rPr>
        <w:t> </w:t>
      </w:r>
      <w:r w:rsidR="0005465C">
        <w:rPr>
          <w:color w:val="000000" w:themeColor="text1"/>
        </w:rPr>
        <w:t>Portal de Gestão.</w:t>
      </w:r>
    </w:p>
    <w:p w14:paraId="4A9E9EC9" w14:textId="34DB63D1" w:rsidR="0005465C" w:rsidRPr="00EF7CF9" w:rsidRDefault="00380305" w:rsidP="00F01ED6">
      <w:pPr>
        <w:pStyle w:val="ProductList-Body"/>
      </w:pPr>
      <w:r>
        <w:t>“</w:t>
      </w:r>
      <w:r w:rsidR="0005465C">
        <w:rPr>
          <w:b/>
          <w:color w:val="00188F"/>
        </w:rPr>
        <w:t>Canal</w:t>
      </w:r>
      <w:r>
        <w:t>”</w:t>
      </w:r>
      <w:r w:rsidR="0005465C">
        <w:t xml:space="preserve"> designa um ponto de fim num Serviço de Multimédia configurado para receber dados de multimédia. </w:t>
      </w:r>
    </w:p>
    <w:p w14:paraId="423E6D52" w14:textId="20FC2D0B" w:rsidR="0005465C" w:rsidRPr="00EF7CF9" w:rsidRDefault="00380305" w:rsidP="00F01ED6">
      <w:pPr>
        <w:pStyle w:val="ProductList-Body"/>
      </w:pPr>
      <w:r>
        <w:t>“</w:t>
      </w:r>
      <w:r w:rsidR="0005465C">
        <w:rPr>
          <w:b/>
          <w:color w:val="00188F"/>
        </w:rPr>
        <w:t>Codificação</w:t>
      </w:r>
      <w:r>
        <w:t>”</w:t>
      </w:r>
      <w:r w:rsidR="0005465C">
        <w:t xml:space="preserve"> designa o processamento de ficheiros multimédia por subscrição tal como configurado nas Tarefas dos Serviços de Multimédia.</w:t>
      </w:r>
    </w:p>
    <w:p w14:paraId="6FF4B6A2" w14:textId="33FFF240" w:rsidR="0005465C" w:rsidRDefault="00380305" w:rsidP="00F01ED6">
      <w:pPr>
        <w:pStyle w:val="ProductList-Body"/>
      </w:pPr>
      <w:r>
        <w:t>“</w:t>
      </w:r>
      <w:r w:rsidR="0005465C">
        <w:rPr>
          <w:b/>
          <w:color w:val="00188F"/>
        </w:rPr>
        <w:t>Tarefa de Indexação</w:t>
      </w:r>
      <w:r>
        <w:t>”</w:t>
      </w:r>
      <w:r w:rsidR="0005465C">
        <w:t xml:space="preserve"> designa uma Tarefa dos Serviços de Multimédia que é configurada para extrair o conteúdo de discurso de um ficheiro de entrada MP3 com uma duração mínima de cinco minutos.</w:t>
      </w:r>
    </w:p>
    <w:p w14:paraId="1A0F4882" w14:textId="7DFF6D00" w:rsidR="0005465C" w:rsidRDefault="00380305" w:rsidP="00F01ED6">
      <w:pPr>
        <w:pStyle w:val="ProductList-Body"/>
      </w:pPr>
      <w:r>
        <w:t>“</w:t>
      </w:r>
      <w:r w:rsidR="0005465C">
        <w:rPr>
          <w:b/>
          <w:bCs/>
          <w:color w:val="00188F"/>
        </w:rPr>
        <w:t>Unidade Reservada de Multimédia</w:t>
      </w:r>
      <w:r>
        <w:t>”</w:t>
      </w:r>
      <w:r w:rsidR="0005465C">
        <w:rPr>
          <w:color w:val="00188F"/>
        </w:rPr>
        <w:t xml:space="preserve"> </w:t>
      </w:r>
      <w:r w:rsidR="0005465C">
        <w:t>designa as unidades reservadas de codificação adquiridas pelo cliente numa conta de Serviços de Multimédia do Azure.</w:t>
      </w:r>
    </w:p>
    <w:p w14:paraId="575D6D2E" w14:textId="133DC03A" w:rsidR="0005465C" w:rsidRPr="00EF7CF9" w:rsidRDefault="00380305" w:rsidP="00F01ED6">
      <w:pPr>
        <w:pStyle w:val="ProductList-Body"/>
      </w:pPr>
      <w:r>
        <w:t>“</w:t>
      </w:r>
      <w:r w:rsidR="0005465C">
        <w:rPr>
          <w:b/>
          <w:color w:val="00188F"/>
        </w:rPr>
        <w:t>Serviço de Multimédia</w:t>
      </w:r>
      <w:r>
        <w:t>”</w:t>
      </w:r>
      <w:r w:rsidR="0005465C">
        <w:t xml:space="preserve"> identifica uma conta dos Serviços de Multimédia do Azure, criada no Portal de Gestão, associada à subscrição do Microsoft Azure do Cliente. Cada subscrição do Microsoft Azure poderá ter mais de um Serviço de Multimédia associado.</w:t>
      </w:r>
    </w:p>
    <w:p w14:paraId="36326244" w14:textId="201A0235" w:rsidR="0005465C" w:rsidRPr="00EF7CF9" w:rsidRDefault="00380305" w:rsidP="00F01ED6">
      <w:pPr>
        <w:pStyle w:val="ProductList-Body"/>
      </w:pPr>
      <w:r>
        <w:t>“</w:t>
      </w:r>
      <w:r w:rsidR="0005465C">
        <w:rPr>
          <w:b/>
          <w:color w:val="00188F"/>
        </w:rPr>
        <w:t>Pedido de Serviço de Multimédia</w:t>
      </w:r>
      <w:r>
        <w:t>”</w:t>
      </w:r>
      <w:r w:rsidR="0005465C">
        <w:t xml:space="preserve"> identifica um pedido emitido para o Serviço de Multimédia do Cliente.</w:t>
      </w:r>
    </w:p>
    <w:p w14:paraId="45F09B67" w14:textId="2ED827AB" w:rsidR="0005465C" w:rsidRPr="00EF7CF9" w:rsidRDefault="00380305" w:rsidP="00F01ED6">
      <w:pPr>
        <w:pStyle w:val="ProductList-Body"/>
      </w:pPr>
      <w:r>
        <w:t>“</w:t>
      </w:r>
      <w:r w:rsidR="0005465C">
        <w:rPr>
          <w:b/>
          <w:color w:val="00188F"/>
        </w:rPr>
        <w:t>Tarefa dos Serviços de Multimédia</w:t>
      </w:r>
      <w:r>
        <w:t>”</w:t>
      </w:r>
      <w:r w:rsidR="0005465C">
        <w:t xml:space="preserve"> designa uma operação individual de trabalho de processamento de multimédia tal como configurado pelo Cliente. As operações de processamento de multimédia envolvem a codificação e conversão de ficheiros multimédia.</w:t>
      </w:r>
    </w:p>
    <w:p w14:paraId="3A8689F2" w14:textId="317B8E87" w:rsidR="0005465C" w:rsidRPr="001C1F84" w:rsidRDefault="00380305" w:rsidP="00F01ED6">
      <w:pPr>
        <w:pStyle w:val="ProductList-Body"/>
        <w:rPr>
          <w:spacing w:val="-2"/>
        </w:rPr>
      </w:pPr>
      <w:r>
        <w:rPr>
          <w:spacing w:val="-2"/>
        </w:rPr>
        <w:t>“</w:t>
      </w:r>
      <w:r w:rsidR="0005465C" w:rsidRPr="001C1F84">
        <w:rPr>
          <w:b/>
          <w:color w:val="00188F"/>
          <w:spacing w:val="-2"/>
        </w:rPr>
        <w:t>Unidade de Transmissão em Fluxo</w:t>
      </w:r>
      <w:r>
        <w:rPr>
          <w:spacing w:val="-2"/>
        </w:rPr>
        <w:t>”</w:t>
      </w:r>
      <w:r w:rsidR="0005465C" w:rsidRPr="001C1F84">
        <w:rPr>
          <w:spacing w:val="-2"/>
        </w:rPr>
        <w:t xml:space="preserve"> designa uma unidade de capacidade de saída reservada, adquirida pelo Cliente para um Serviço de Multimédia.</w:t>
      </w:r>
    </w:p>
    <w:p w14:paraId="5666E659" w14:textId="39CFE8B0" w:rsidR="0005465C" w:rsidRPr="00EF7CF9" w:rsidRDefault="00380305" w:rsidP="00F01ED6">
      <w:pPr>
        <w:pStyle w:val="ProductList-Body"/>
      </w:pPr>
      <w:r>
        <w:rPr>
          <w:iCs/>
        </w:rPr>
        <w:t>“</w:t>
      </w:r>
      <w:r w:rsidR="0005465C">
        <w:rPr>
          <w:b/>
          <w:iCs/>
          <w:color w:val="00188F"/>
        </w:rPr>
        <w:t>Pedidos de Chave Válidos</w:t>
      </w:r>
      <w:r>
        <w:rPr>
          <w:iCs/>
        </w:rPr>
        <w:t>”</w:t>
      </w:r>
      <w:r w:rsidR="0005465C">
        <w:t xml:space="preserve"> são todos os pedidos efetuados para o Serviço de Proteção de Conteúdo para chaves de conteúdo existentes num Serviço de Multimédia do Cliente.</w:t>
      </w:r>
    </w:p>
    <w:p w14:paraId="449FD194" w14:textId="79062532" w:rsidR="0005465C" w:rsidRPr="00EF7CF9" w:rsidRDefault="00380305" w:rsidP="00F01ED6">
      <w:pPr>
        <w:pStyle w:val="ProductList-Body"/>
      </w:pPr>
      <w:r>
        <w:t>“</w:t>
      </w:r>
      <w:r w:rsidR="0005465C">
        <w:rPr>
          <w:b/>
          <w:color w:val="00188F"/>
        </w:rPr>
        <w:t>Pedidos de Serviços de Multimédia Válidos</w:t>
      </w:r>
      <w:r>
        <w:t>”</w:t>
      </w:r>
      <w:r w:rsidR="0005465C">
        <w:t xml:space="preserve"> designa todos os Pedidos de Serviço de Multimédia qualificáveis para o conteúdo multimédia existente numa conta de Armazenamento do Azure do cliente associada ao respetivo Serviço de Multimédia quando pelo menos uma Unidade de</w:t>
      </w:r>
      <w:r w:rsidR="00B44476">
        <w:t> </w:t>
      </w:r>
      <w:r w:rsidR="0005465C">
        <w:t>Transmissão em Fluxo foi adquirida e alocada a esse Serviço de Multimédia. Os Pedidos de Serviço de Multimédia Válidos não incluem Pedidos de Serviço de Multimédia para os quais o total do débito excede 80% da Largura de Banda Alocada.</w:t>
      </w:r>
    </w:p>
    <w:p w14:paraId="4237EE29" w14:textId="67B66F65" w:rsidR="0005465C" w:rsidRPr="00ED4527" w:rsidRDefault="00EE6E3C" w:rsidP="00576F3A">
      <w:pPr>
        <w:pStyle w:val="ProductList-Body"/>
        <w:keepNext/>
        <w:keepLines/>
        <w:rPr>
          <w:b/>
          <w:bCs/>
          <w:color w:val="00188F"/>
        </w:rPr>
      </w:pPr>
      <w:r>
        <w:rPr>
          <w:b/>
          <w:bCs/>
          <w:color w:val="00188F"/>
        </w:rPr>
        <w:t>Cálculo do Período de Disponibilidade e Níveis de Serviço para o Serviço de Codificação</w:t>
      </w:r>
    </w:p>
    <w:p w14:paraId="76B87B19" w14:textId="034192C6"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de API REST autenticados no que se refere a um Serviço de Multimédia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E5776FA" w14:textId="2412FCD1" w:rsidR="0005465C" w:rsidRPr="00EF7CF9" w:rsidRDefault="00380305" w:rsidP="00F01ED6">
      <w:pPr>
        <w:pStyle w:val="ProductList-Body"/>
      </w:pPr>
      <w:r>
        <w:t>“</w:t>
      </w:r>
      <w:r w:rsidR="0005465C">
        <w:rPr>
          <w:b/>
          <w:color w:val="00188F"/>
        </w:rPr>
        <w:t>Transações com Falha</w:t>
      </w:r>
      <w:r>
        <w:t>”</w:t>
      </w:r>
      <w:r w:rsidR="0005465C">
        <w:t xml:space="preserve"> é o conjunto de todos os pedidos no Total de Tentativas de Transação que não devolvem um Código de Êxito num prazo de 30 segundos a partir da receção do pedido por parte da Microsoft.</w:t>
      </w:r>
    </w:p>
    <w:p w14:paraId="1C7C2944" w14:textId="717C1E1E"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p</w:t>
      </w:r>
      <w:r w:rsidR="0005465C">
        <w:rPr>
          <w:color w:val="000000" w:themeColor="text1"/>
        </w:rPr>
        <w:t>ara o Serviço de Codificação dos Serviços de Multimédia do Azure é calculada como o Total de</w:t>
      </w:r>
      <w:r w:rsidR="00BD6370">
        <w:rPr>
          <w:color w:val="000000" w:themeColor="text1"/>
        </w:rPr>
        <w:t> </w:t>
      </w:r>
      <w:r w:rsidR="0005465C">
        <w:rPr>
          <w:color w:val="000000" w:themeColor="text1"/>
        </w:rPr>
        <w:t>Tentativas de Transação menos as Transações com Falha a dividir pelo Total de Tentativas de Transação num Período Aplicável para uma determinada subscrição do Microsoft Azure.</w:t>
      </w:r>
    </w:p>
    <w:p w14:paraId="6247E460" w14:textId="4BEA29D2" w:rsidR="0005465C" w:rsidRPr="00EF7CF9" w:rsidRDefault="0005465C" w:rsidP="00F01ED6">
      <w:pPr>
        <w:pStyle w:val="ProductList-Body"/>
      </w:pPr>
      <w:r>
        <w:t>A Percentagem de Período de Disponibilidade é calculada através da seguinte fórmula:</w:t>
      </w:r>
    </w:p>
    <w:p w14:paraId="5CE29E4D" w14:textId="038926F6" w:rsidR="0005465C" w:rsidRPr="00EF7CF9" w:rsidRDefault="00000000" w:rsidP="005D141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60544333" w:rsidR="0005465C" w:rsidRPr="00EF7CF9" w:rsidRDefault="0005465C" w:rsidP="00427FFA">
      <w:pPr>
        <w:keepNext/>
        <w:spacing w:after="0" w:line="240" w:lineRule="auto"/>
      </w:pPr>
      <w:r>
        <w:rPr>
          <w:b/>
          <w:color w:val="00188F"/>
          <w:sz w:val="18"/>
        </w:rPr>
        <w:t>Os seguintes Níveis de Serviço e Créditos de Serviço são aplicáveis à utilização que o Cliente faz do Serviço de Codificação dos Serviços de</w:t>
      </w:r>
      <w:r w:rsidR="00427FFA">
        <w:rPr>
          <w:b/>
          <w:color w:val="00188F"/>
          <w:sz w:val="18"/>
        </w:rPr>
        <w:t> </w:t>
      </w:r>
      <w:r>
        <w:rPr>
          <w:b/>
          <w:color w:val="00188F"/>
          <w:sz w:val="18"/>
        </w:rPr>
        <w:t>Multimédia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5D3DBC8"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277097">
        <w:tc>
          <w:tcPr>
            <w:tcW w:w="5400" w:type="dxa"/>
          </w:tcPr>
          <w:p w14:paraId="51AFE70C" w14:textId="77777777" w:rsidR="0005465C" w:rsidRPr="00EF7CF9" w:rsidRDefault="0005465C" w:rsidP="00F01ED6">
            <w:pPr>
              <w:pStyle w:val="ProductList-OfferingBody"/>
              <w:jc w:val="center"/>
            </w:pPr>
            <w:r>
              <w:t>&lt; 99,9%</w:t>
            </w:r>
          </w:p>
        </w:tc>
        <w:tc>
          <w:tcPr>
            <w:tcW w:w="5400" w:type="dxa"/>
          </w:tcPr>
          <w:p w14:paraId="643F935F" w14:textId="77777777" w:rsidR="0005465C" w:rsidRPr="00EF7CF9" w:rsidRDefault="0005465C" w:rsidP="00F01ED6">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F01ED6">
            <w:pPr>
              <w:pStyle w:val="ProductList-OfferingBody"/>
              <w:jc w:val="center"/>
            </w:pPr>
            <w:r>
              <w:t>&lt; 99%</w:t>
            </w:r>
          </w:p>
        </w:tc>
        <w:tc>
          <w:tcPr>
            <w:tcW w:w="5400" w:type="dxa"/>
          </w:tcPr>
          <w:p w14:paraId="6588FFA0" w14:textId="77777777" w:rsidR="0005465C" w:rsidRPr="00EF7CF9" w:rsidRDefault="0005465C" w:rsidP="00F01ED6">
            <w:pPr>
              <w:pStyle w:val="ProductList-OfferingBody"/>
              <w:jc w:val="center"/>
            </w:pPr>
            <w:r>
              <w:t>25%</w:t>
            </w:r>
          </w:p>
        </w:tc>
      </w:tr>
    </w:tbl>
    <w:p w14:paraId="0EA33D4A" w14:textId="21205708" w:rsidR="0005465C" w:rsidRDefault="00EE6E3C" w:rsidP="00F01ED6">
      <w:pPr>
        <w:pStyle w:val="ProductList-Body"/>
        <w:keepNext/>
        <w:spacing w:before="120"/>
        <w:rPr>
          <w:b/>
          <w:bCs/>
          <w:color w:val="00188F"/>
        </w:rPr>
      </w:pPr>
      <w:r>
        <w:rPr>
          <w:b/>
          <w:bCs/>
          <w:color w:val="00188F"/>
        </w:rPr>
        <w:t>Cálculo do Período de Disponibilidade e Níveis de Serviço para o Indexador de Multimédia</w:t>
      </w:r>
    </w:p>
    <w:p w14:paraId="27730B1D" w14:textId="77777777" w:rsidR="0005465C" w:rsidRPr="00ED4527" w:rsidRDefault="0005465C" w:rsidP="00F01ED6">
      <w:pPr>
        <w:pStyle w:val="ProductList-Body"/>
        <w:rPr>
          <w:b/>
          <w:bCs/>
          <w:color w:val="00188F"/>
        </w:rPr>
      </w:pPr>
      <w:r>
        <w:rPr>
          <w:b/>
          <w:bCs/>
          <w:color w:val="00188F"/>
        </w:rPr>
        <w:t>Definições Adicionais:</w:t>
      </w:r>
    </w:p>
    <w:p w14:paraId="037E191A" w14:textId="2F2A427A" w:rsidR="0005465C" w:rsidRDefault="00380305" w:rsidP="00F01ED6">
      <w:pPr>
        <w:pStyle w:val="ProductList-Body"/>
      </w:pPr>
      <w:r>
        <w:t>“</w:t>
      </w:r>
      <w:r w:rsidR="0005465C">
        <w:rPr>
          <w:b/>
          <w:color w:val="00188F"/>
        </w:rPr>
        <w:t>Total de Tentativas de Transação</w:t>
      </w:r>
      <w:r>
        <w:t>”</w:t>
      </w:r>
      <w:r w:rsidR="0005465C">
        <w:t xml:space="preserve"> designa o número total de tentativas de execução de Tarefas do Indexador com uma Unidade Reservada de</w:t>
      </w:r>
      <w:r w:rsidR="00BA3473">
        <w:t> </w:t>
      </w:r>
      <w:r w:rsidR="0005465C">
        <w:t>Multimédia disponível por parte do Cliente durante um Período Aplicável para uma subscrição.</w:t>
      </w:r>
    </w:p>
    <w:p w14:paraId="1795AB74" w14:textId="224911FA" w:rsidR="0005465C" w:rsidRDefault="00380305" w:rsidP="00F01ED6">
      <w:pPr>
        <w:pStyle w:val="ProductList-Body"/>
      </w:pPr>
      <w:r>
        <w:t>“</w:t>
      </w:r>
      <w:r w:rsidR="0005465C">
        <w:rPr>
          <w:b/>
          <w:color w:val="00188F"/>
        </w:rPr>
        <w:t>Transações com Falha</w:t>
      </w:r>
      <w:r>
        <w:t>”</w:t>
      </w:r>
      <w:r w:rsidR="0005465C">
        <w:t xml:space="preserve"> é o conjunto de Tarefas de Indexação no Total de Tentativas de Transação que a) não sejam concluídas num período de</w:t>
      </w:r>
      <w:r w:rsidR="00BA3473">
        <w:t> </w:t>
      </w:r>
      <w:r w:rsidR="0005465C">
        <w:t>tempo que seja 3 vezes a duração do ficheiro de entrada ou b) não iniciem o processamento no prazo de 5 minutos do tempo em que uma Unidade Reservada de Multimédia se torna disponível para utilização pela Tarefa de Indexação.</w:t>
      </w:r>
    </w:p>
    <w:p w14:paraId="63DF2CAC" w14:textId="7D51DCF5"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w:t>
      </w:r>
      <w:r w:rsidR="0005465C">
        <w:rPr>
          <w:color w:val="000000" w:themeColor="text1"/>
        </w:rPr>
        <w:t>para o Indexador de Multimédia é calculada como o Total de Tentativas de Transação menos as Transações com Falha a dividir pelo Total de Tentativas de Transação num Período Aplicável para uma determinada subscrição do Microsoft Azure.</w:t>
      </w:r>
    </w:p>
    <w:p w14:paraId="03C1B0C8" w14:textId="2E4C5AF4" w:rsidR="0005465C" w:rsidRPr="00EF7CF9" w:rsidRDefault="0005465C" w:rsidP="00F01ED6">
      <w:pPr>
        <w:pStyle w:val="ProductList-Body"/>
      </w:pPr>
      <w:r>
        <w:t>A Percentagem de Período de Disponibilidade é calculada através da seguinte fórmula:</w:t>
      </w:r>
    </w:p>
    <w:p w14:paraId="38A7AA85" w14:textId="77777777" w:rsidR="0005465C" w:rsidRPr="00EF7CF9" w:rsidRDefault="0005465C" w:rsidP="00F01ED6">
      <w:pPr>
        <w:pStyle w:val="ProductList-Body"/>
      </w:pPr>
    </w:p>
    <w:p w14:paraId="13457D32" w14:textId="05AD4A5D"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16D1D175" w:rsidR="0005465C" w:rsidRPr="00EF7CF9" w:rsidRDefault="0005465C" w:rsidP="00F01ED6">
      <w:pPr>
        <w:pStyle w:val="ProductList-Body"/>
      </w:pPr>
      <w:r>
        <w:rPr>
          <w:b/>
          <w:color w:val="00188F"/>
        </w:rPr>
        <w:t>Os seguintes Níveis de Serviço e Créditos de Serviço são aplicáveis à utilização que o Cliente faz do Indexador de Multimédia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0EDDFB4E"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277097">
        <w:tc>
          <w:tcPr>
            <w:tcW w:w="5400" w:type="dxa"/>
          </w:tcPr>
          <w:p w14:paraId="68470538" w14:textId="77777777" w:rsidR="0005465C" w:rsidRPr="00EF7CF9" w:rsidRDefault="0005465C" w:rsidP="00F01ED6">
            <w:pPr>
              <w:pStyle w:val="ProductList-OfferingBody"/>
              <w:jc w:val="center"/>
            </w:pPr>
            <w:r>
              <w:t>&lt; 99,9%</w:t>
            </w:r>
          </w:p>
        </w:tc>
        <w:tc>
          <w:tcPr>
            <w:tcW w:w="5400" w:type="dxa"/>
          </w:tcPr>
          <w:p w14:paraId="07A02B82" w14:textId="77777777" w:rsidR="0005465C" w:rsidRPr="00EF7CF9" w:rsidRDefault="0005465C" w:rsidP="00F01ED6">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01ED6">
            <w:pPr>
              <w:pStyle w:val="ProductList-OfferingBody"/>
              <w:jc w:val="center"/>
            </w:pPr>
            <w:r>
              <w:t>&lt; 99%</w:t>
            </w:r>
          </w:p>
        </w:tc>
        <w:tc>
          <w:tcPr>
            <w:tcW w:w="5400" w:type="dxa"/>
          </w:tcPr>
          <w:p w14:paraId="1E95AC2B" w14:textId="77777777" w:rsidR="0005465C" w:rsidRPr="00EF7CF9" w:rsidRDefault="0005465C" w:rsidP="00F01ED6">
            <w:pPr>
              <w:pStyle w:val="ProductList-OfferingBody"/>
              <w:jc w:val="center"/>
            </w:pPr>
            <w:r>
              <w:t>25%</w:t>
            </w:r>
          </w:p>
        </w:tc>
      </w:tr>
    </w:tbl>
    <w:p w14:paraId="1FA15227" w14:textId="79A50EA6" w:rsidR="0005465C" w:rsidRDefault="00EE6E3C" w:rsidP="00907318">
      <w:pPr>
        <w:pStyle w:val="ProductList-Body"/>
        <w:spacing w:before="120"/>
        <w:rPr>
          <w:b/>
          <w:bCs/>
          <w:color w:val="00188F"/>
        </w:rPr>
      </w:pPr>
      <w:r>
        <w:rPr>
          <w:b/>
          <w:bCs/>
          <w:color w:val="00188F"/>
        </w:rPr>
        <w:t>Cálculo do Período de Disponibilidade e Níveis de Serviço para o Serviço de Transmissão em Fluxo</w:t>
      </w:r>
    </w:p>
    <w:p w14:paraId="0AD96E39" w14:textId="77777777" w:rsidR="0005465C" w:rsidRDefault="0005465C" w:rsidP="00F01ED6">
      <w:pPr>
        <w:pStyle w:val="ProductList-Body"/>
        <w:rPr>
          <w:b/>
          <w:bCs/>
          <w:color w:val="00188F"/>
        </w:rPr>
      </w:pPr>
      <w:r>
        <w:rPr>
          <w:b/>
          <w:bCs/>
          <w:color w:val="00188F"/>
        </w:rPr>
        <w:t>Definições Adicionais:</w:t>
      </w:r>
    </w:p>
    <w:p w14:paraId="52664232" w14:textId="6CCE733F"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uma determinada Unidade de Transmissão em Fluxo foi adquirida e alocada a um Serviço de Multimédia durante um Período Aplicável.</w:t>
      </w:r>
    </w:p>
    <w:p w14:paraId="38064890" w14:textId="478BFD2A"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todas as Unidades de Transmissão em Fluxo adquiridas e alocadas a um Serviço de Multimédia durante um Período Aplicável.</w:t>
      </w:r>
    </w:p>
    <w:p w14:paraId="641A9254" w14:textId="77777777"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em que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6A6C8E6F" w14:textId="05D95FD2"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 Serviço de Transmissão em Fluxo dos Serviços de Multimédia do Azure é calculada como o</w:t>
      </w:r>
      <w:r w:rsidR="00F71AD3">
        <w:t> </w:t>
      </w:r>
      <w:r>
        <w:t>Máximo de Minutos Disponíveis menos o Período de Indisponibilidade a dividir pelo Máximo de Minutos Disponíveis num Período Aplicável para uma determinada subscrição do Microsoft Azure.</w:t>
      </w:r>
    </w:p>
    <w:p w14:paraId="61A12412" w14:textId="72445C95" w:rsidR="0005465C" w:rsidRPr="00EF7CF9" w:rsidRDefault="0005465C" w:rsidP="00F01ED6">
      <w:pPr>
        <w:pStyle w:val="ProductList-Body"/>
      </w:pPr>
      <w:r>
        <w:t>A Percentagem de Período de Disponibilidade é calculada através da seguinte fórmula:</w:t>
      </w:r>
    </w:p>
    <w:p w14:paraId="3AC7ADB8" w14:textId="3907A2C9" w:rsidR="0005465C" w:rsidRPr="00EF7CF9" w:rsidRDefault="00000000" w:rsidP="005D141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5E5DC2">
      <w:pPr>
        <w:pStyle w:val="ProductList-Body"/>
        <w:keepNext/>
        <w:keepLines/>
      </w:pPr>
      <w:r>
        <w:rPr>
          <w:b/>
          <w:color w:val="00188F"/>
        </w:rPr>
        <w:t>Os seguintes Níveis de Serviço e Créditos de Serviço são aplicáveis à utilização que o Cliente faz do Serviço de Transmissão em Fluxo A Pedido dos Serviços de Multimédia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D51487"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277097">
        <w:tc>
          <w:tcPr>
            <w:tcW w:w="5400" w:type="dxa"/>
          </w:tcPr>
          <w:p w14:paraId="73641178" w14:textId="77777777" w:rsidR="0005465C" w:rsidRPr="00EF7CF9" w:rsidRDefault="0005465C" w:rsidP="00F01ED6">
            <w:pPr>
              <w:pStyle w:val="ProductList-OfferingBody"/>
              <w:jc w:val="center"/>
            </w:pPr>
            <w:r>
              <w:t>&lt; 99,9%</w:t>
            </w:r>
          </w:p>
        </w:tc>
        <w:tc>
          <w:tcPr>
            <w:tcW w:w="5400" w:type="dxa"/>
          </w:tcPr>
          <w:p w14:paraId="60FF2A85" w14:textId="77777777" w:rsidR="0005465C" w:rsidRPr="00EF7CF9" w:rsidRDefault="0005465C" w:rsidP="00F01ED6">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F01ED6">
            <w:pPr>
              <w:pStyle w:val="ProductList-OfferingBody"/>
              <w:jc w:val="center"/>
            </w:pPr>
            <w:r>
              <w:t>&lt; 99%</w:t>
            </w:r>
          </w:p>
        </w:tc>
        <w:tc>
          <w:tcPr>
            <w:tcW w:w="5400" w:type="dxa"/>
          </w:tcPr>
          <w:p w14:paraId="6B947007" w14:textId="77777777" w:rsidR="0005465C" w:rsidRPr="00EF7CF9" w:rsidRDefault="0005465C" w:rsidP="00F01ED6">
            <w:pPr>
              <w:pStyle w:val="ProductList-OfferingBody"/>
              <w:jc w:val="center"/>
            </w:pPr>
            <w:r>
              <w:t>25%</w:t>
            </w:r>
          </w:p>
        </w:tc>
      </w:tr>
    </w:tbl>
    <w:p w14:paraId="20A43B74" w14:textId="05227B1E" w:rsidR="0005465C" w:rsidRPr="00ED4527" w:rsidRDefault="00EE6E3C" w:rsidP="00907318">
      <w:pPr>
        <w:pStyle w:val="ProductList-Body"/>
        <w:spacing w:before="120"/>
        <w:rPr>
          <w:b/>
          <w:bCs/>
          <w:color w:val="00188F"/>
        </w:rPr>
      </w:pPr>
      <w:r>
        <w:rPr>
          <w:b/>
          <w:bCs/>
          <w:color w:val="00188F"/>
        </w:rPr>
        <w:t>Cálculo do Período de Disponibilidade e Níveis de Serviço para o Serviço do Indexador de Vídeo</w:t>
      </w:r>
    </w:p>
    <w:p w14:paraId="57898D88" w14:textId="77777777" w:rsidR="0005465C" w:rsidRPr="00ED4527" w:rsidRDefault="0005465C" w:rsidP="00F01ED6">
      <w:pPr>
        <w:pStyle w:val="ProductList-Body"/>
        <w:rPr>
          <w:b/>
          <w:bCs/>
          <w:color w:val="00188F"/>
        </w:rPr>
      </w:pPr>
      <w:r>
        <w:rPr>
          <w:b/>
          <w:bCs/>
          <w:color w:val="00188F"/>
        </w:rPr>
        <w:t>Definições Adicionais:</w:t>
      </w:r>
    </w:p>
    <w:p w14:paraId="530783AE" w14:textId="0319EC0D"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da API Indexador de Vídeo autenticados efetuados pelo Cliente durante um Período Aplicável para uma subscrição. O Total de Tentativas de Transação não inclui os pedidos de API Indexador de Vídeo que devolvem um Código de Erro e que são repetidos continuamente num intervalo de cinco minutos após a receção do primeiro Código de Erro, ou pedidos de Carregamento POST, que enviam o ficheiro como conteúdo com uma série de bytes.</w:t>
      </w:r>
    </w:p>
    <w:p w14:paraId="62538BEA" w14:textId="2CA8C658" w:rsidR="0005465C" w:rsidRPr="00EF7CF9" w:rsidRDefault="00380305" w:rsidP="00F01ED6">
      <w:pPr>
        <w:pStyle w:val="ProductList-Body"/>
      </w:pPr>
      <w:r>
        <w:t>“</w:t>
      </w:r>
      <w:r w:rsidR="0005465C">
        <w:rPr>
          <w:b/>
          <w:color w:val="00188F"/>
        </w:rPr>
        <w:t>Transações com Falha</w:t>
      </w:r>
      <w:r>
        <w:t>”</w:t>
      </w:r>
      <w:r w:rsidR="0005465C">
        <w:t xml:space="preserve"> designa o conjunto de todos os pedidos no Total de Tentativas de Transação que devolvem um Código de Erro ou que não enviam uma resposta ao fim de 360 segundos após a conclusão do envio do cliente por parte do cliente.</w:t>
      </w:r>
    </w:p>
    <w:p w14:paraId="3A2B8AD1" w14:textId="295144E0" w:rsidR="0005465C" w:rsidRPr="00F2068A" w:rsidRDefault="00380305" w:rsidP="00F01ED6">
      <w:pPr>
        <w:pStyle w:val="ProductList-Body"/>
        <w:rPr>
          <w:spacing w:val="-2"/>
        </w:rPr>
      </w:pPr>
      <w:r w:rsidRPr="00CB7596">
        <w:t>“</w:t>
      </w:r>
      <w:r w:rsidR="0005465C" w:rsidRPr="00F2068A">
        <w:rPr>
          <w:b/>
          <w:color w:val="00188F"/>
          <w:spacing w:val="-2"/>
        </w:rPr>
        <w:t>Percentagem de Período de Disponibilidade</w:t>
      </w:r>
      <w:r w:rsidRPr="00CB7596">
        <w:t>”</w:t>
      </w:r>
      <w:r w:rsidR="0005465C" w:rsidRPr="00F2068A">
        <w:rPr>
          <w:spacing w:val="-2"/>
        </w:rPr>
        <w:t xml:space="preserve"> para o Serviço do Indexador de Vídeo é calculada como o Total de Tentativas de Transação menos as Transações com Falha a dividir pelo Total de Tentativas de Transação num Período Aplicável para uma determinada subscrição do Microsoft Azure. </w:t>
      </w:r>
    </w:p>
    <w:p w14:paraId="3379429A" w14:textId="12695F41" w:rsidR="0005465C" w:rsidRPr="00EF7CF9" w:rsidRDefault="0005465C" w:rsidP="00F01ED6">
      <w:pPr>
        <w:pStyle w:val="ProductList-Body"/>
      </w:pPr>
      <w:r>
        <w:t>A Percentagem de Período de Disponibilidade é calculada através da seguinte fórmula:</w:t>
      </w:r>
    </w:p>
    <w:p w14:paraId="78BCAE0D" w14:textId="30BE722D" w:rsidR="0005465C" w:rsidRPr="00EF7CF9" w:rsidRDefault="00000000" w:rsidP="005D141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do Indexador de Vídeo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7AD259" w14:textId="77777777" w:rsidR="0005465C" w:rsidRPr="005A3C16"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277097">
        <w:tc>
          <w:tcPr>
            <w:tcW w:w="5400" w:type="dxa"/>
          </w:tcPr>
          <w:p w14:paraId="09561F0A" w14:textId="77777777" w:rsidR="0005465C" w:rsidRPr="005A3C16" w:rsidRDefault="0005465C" w:rsidP="00F01ED6">
            <w:pPr>
              <w:pStyle w:val="ProductList-OfferingBody"/>
              <w:jc w:val="center"/>
            </w:pPr>
            <w:r>
              <w:t>&lt; 99,9%</w:t>
            </w:r>
          </w:p>
        </w:tc>
        <w:tc>
          <w:tcPr>
            <w:tcW w:w="5400" w:type="dxa"/>
          </w:tcPr>
          <w:p w14:paraId="47F17463" w14:textId="77777777" w:rsidR="0005465C" w:rsidRPr="005A3C16" w:rsidRDefault="0005465C" w:rsidP="00F01ED6">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F01ED6">
            <w:pPr>
              <w:pStyle w:val="ProductList-OfferingBody"/>
              <w:jc w:val="center"/>
            </w:pPr>
            <w:r>
              <w:t>&lt; 99%</w:t>
            </w:r>
          </w:p>
        </w:tc>
        <w:tc>
          <w:tcPr>
            <w:tcW w:w="5400" w:type="dxa"/>
          </w:tcPr>
          <w:p w14:paraId="3F63357C" w14:textId="77777777" w:rsidR="0005465C" w:rsidRPr="005A3C16" w:rsidRDefault="0005465C" w:rsidP="00F01ED6">
            <w:pPr>
              <w:pStyle w:val="ProductList-OfferingBody"/>
              <w:jc w:val="center"/>
            </w:pPr>
            <w:r>
              <w:t>25%</w:t>
            </w:r>
          </w:p>
        </w:tc>
      </w:tr>
    </w:tbl>
    <w:p w14:paraId="2C7ADA14" w14:textId="66FE91FC" w:rsidR="0005465C" w:rsidRDefault="00EE6E3C" w:rsidP="00907318">
      <w:pPr>
        <w:pStyle w:val="ProductList-Body"/>
        <w:spacing w:before="120"/>
        <w:rPr>
          <w:b/>
          <w:bCs/>
          <w:color w:val="00188F"/>
        </w:rPr>
      </w:pPr>
      <w:r>
        <w:rPr>
          <w:b/>
          <w:bCs/>
          <w:color w:val="00188F"/>
        </w:rPr>
        <w:t>Cálculo do Período de Disponibilidade e Níveis de Serviço para Canais em Direto</w:t>
      </w:r>
    </w:p>
    <w:p w14:paraId="000D0D6F" w14:textId="77777777" w:rsidR="0005465C" w:rsidRPr="00ED4527" w:rsidRDefault="0005465C" w:rsidP="00F01ED6">
      <w:pPr>
        <w:pStyle w:val="ProductList-Body"/>
        <w:rPr>
          <w:b/>
          <w:bCs/>
          <w:color w:val="00188F"/>
        </w:rPr>
      </w:pPr>
      <w:r>
        <w:rPr>
          <w:b/>
          <w:bCs/>
          <w:color w:val="00188F"/>
        </w:rPr>
        <w:t>Definições Adicionais:</w:t>
      </w:r>
    </w:p>
    <w:p w14:paraId="0FC8F879" w14:textId="76E7A7E9"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 determinado Canal foi adquirido e alocado a um Serviço de Multimédia e está operacional durante um Período Aplicável.</w:t>
      </w:r>
    </w:p>
    <w:p w14:paraId="2BF106B0" w14:textId="61F9F410"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todos os Canais adquiridos e alocados a um Serviço de Multimédia durante um Período Aplicável.</w:t>
      </w:r>
    </w:p>
    <w:p w14:paraId="589A4F11" w14:textId="00961A86"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quando o Serviço de Canais em Direto está indisponível. Um</w:t>
      </w:r>
      <w:r w:rsidR="004D5DFB">
        <w:t> </w:t>
      </w:r>
      <w:r>
        <w:t>minuto é considerado indisponível para um determinado Canal se o Canal não tiver qualquer Conectividade Externa durante o minuto.</w:t>
      </w:r>
    </w:p>
    <w:p w14:paraId="32D83198" w14:textId="01A3979B"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os Canais em Direto é calculada como o Máximo de Minutos Disponíveis menos o Período de</w:t>
      </w:r>
      <w:r w:rsidR="004D5DFB">
        <w:t> </w:t>
      </w:r>
      <w:r>
        <w:t>Indisponibilidade a dividir pelo Máximo de Minutos Disponíveis num Período Aplicável para uma determinada subscrição do Microsoft Azure.</w:t>
      </w:r>
    </w:p>
    <w:p w14:paraId="2AF355B5" w14:textId="2A3579D7" w:rsidR="0005465C" w:rsidRPr="00EF7CF9" w:rsidRDefault="0005465C" w:rsidP="00F01ED6">
      <w:pPr>
        <w:pStyle w:val="ProductList-Body"/>
      </w:pPr>
      <w:r>
        <w:t>A Percentagem de Período de Disponibilidade é calculada através da seguinte fórmula:</w:t>
      </w:r>
    </w:p>
    <w:p w14:paraId="542BD127" w14:textId="77777777" w:rsidR="0005465C" w:rsidRPr="00EF7CF9" w:rsidRDefault="0005465C" w:rsidP="00F01ED6">
      <w:pPr>
        <w:pStyle w:val="ProductList-Body"/>
      </w:pPr>
    </w:p>
    <w:p w14:paraId="30039B30" w14:textId="59498692" w:rsidR="0005465C" w:rsidRPr="00EF7CF9" w:rsidRDefault="00000000" w:rsidP="005E5DC2">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56547FF"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Canais em Direto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EAEC4D"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277097">
        <w:tc>
          <w:tcPr>
            <w:tcW w:w="5400" w:type="dxa"/>
          </w:tcPr>
          <w:p w14:paraId="22784DA1" w14:textId="77777777" w:rsidR="0005465C" w:rsidRPr="00EF7CF9" w:rsidRDefault="0005465C" w:rsidP="00F01ED6">
            <w:pPr>
              <w:pStyle w:val="ProductList-OfferingBody"/>
              <w:jc w:val="center"/>
            </w:pPr>
            <w:r>
              <w:t>&lt; 99,9%</w:t>
            </w:r>
          </w:p>
        </w:tc>
        <w:tc>
          <w:tcPr>
            <w:tcW w:w="5400" w:type="dxa"/>
          </w:tcPr>
          <w:p w14:paraId="7C46E78F" w14:textId="77777777" w:rsidR="0005465C" w:rsidRPr="00EF7CF9" w:rsidRDefault="0005465C" w:rsidP="00F01ED6">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F01ED6">
            <w:pPr>
              <w:pStyle w:val="ProductList-OfferingBody"/>
              <w:jc w:val="center"/>
            </w:pPr>
            <w:r>
              <w:t>&lt; 99%</w:t>
            </w:r>
          </w:p>
        </w:tc>
        <w:tc>
          <w:tcPr>
            <w:tcW w:w="5400" w:type="dxa"/>
          </w:tcPr>
          <w:p w14:paraId="2A1B4C47" w14:textId="77777777" w:rsidR="0005465C" w:rsidRPr="00EF7CF9" w:rsidRDefault="0005465C" w:rsidP="00F01ED6">
            <w:pPr>
              <w:pStyle w:val="ProductList-OfferingBody"/>
              <w:jc w:val="center"/>
            </w:pPr>
            <w:r>
              <w:t>25%</w:t>
            </w:r>
          </w:p>
        </w:tc>
      </w:tr>
    </w:tbl>
    <w:p w14:paraId="596A31A9" w14:textId="0DDDA0D1" w:rsidR="0005465C" w:rsidRPr="00623706" w:rsidRDefault="00EE6E3C" w:rsidP="00907318">
      <w:pPr>
        <w:pStyle w:val="ProductList-Body"/>
        <w:spacing w:before="120"/>
        <w:rPr>
          <w:b/>
          <w:bCs/>
          <w:color w:val="00188F"/>
        </w:rPr>
      </w:pPr>
      <w:r>
        <w:rPr>
          <w:b/>
          <w:bCs/>
          <w:color w:val="00188F"/>
        </w:rPr>
        <w:t>Cálculo do Período de Disponibilidade e Níveis de Serviço para o Serviço de Proteção de Conteúdo</w:t>
      </w:r>
    </w:p>
    <w:p w14:paraId="5A000AB7" w14:textId="77777777" w:rsidR="0005465C" w:rsidRPr="00ED4527" w:rsidRDefault="0005465C" w:rsidP="00F01ED6">
      <w:pPr>
        <w:pStyle w:val="ProductList-Body"/>
        <w:rPr>
          <w:b/>
          <w:bCs/>
          <w:color w:val="00188F"/>
        </w:rPr>
      </w:pPr>
      <w:r>
        <w:rPr>
          <w:b/>
          <w:bCs/>
          <w:color w:val="00188F"/>
        </w:rPr>
        <w:t>Definições Adicionais</w:t>
      </w:r>
    </w:p>
    <w:p w14:paraId="4EA80504" w14:textId="257243E1" w:rsidR="0005465C" w:rsidRPr="00EF7CF9" w:rsidRDefault="00380305" w:rsidP="00F01ED6">
      <w:pPr>
        <w:pStyle w:val="ProductList-Body"/>
      </w:pPr>
      <w:r>
        <w:t>“</w:t>
      </w:r>
      <w:r w:rsidR="0005465C">
        <w:rPr>
          <w:b/>
          <w:color w:val="00188F"/>
        </w:rPr>
        <w:t>Total de Tentativas de Transação</w:t>
      </w:r>
      <w:r>
        <w:t>”</w:t>
      </w:r>
      <w:r w:rsidR="0005465C">
        <w:t xml:space="preserve"> designa todos os Pedidos de Chave Válidos efetuados pelo Cliente durante um Período Aplicável para uma determinada subscrição do Azure.</w:t>
      </w:r>
    </w:p>
    <w:p w14:paraId="1ED551EE" w14:textId="0B309703" w:rsidR="0005465C" w:rsidRPr="00F2068A" w:rsidRDefault="00380305" w:rsidP="00F01ED6">
      <w:pPr>
        <w:pStyle w:val="ProductList-Body"/>
        <w:rPr>
          <w:spacing w:val="-2"/>
        </w:rPr>
      </w:pPr>
      <w:r>
        <w:rPr>
          <w:spacing w:val="-2"/>
        </w:rPr>
        <w:t>“</w:t>
      </w:r>
      <w:r w:rsidR="0005465C" w:rsidRPr="00F2068A">
        <w:rPr>
          <w:b/>
          <w:color w:val="00188F"/>
          <w:spacing w:val="-2"/>
        </w:rPr>
        <w:t>Transações com Falha</w:t>
      </w:r>
      <w:r>
        <w:rPr>
          <w:spacing w:val="-2"/>
        </w:rPr>
        <w:t>”</w:t>
      </w:r>
      <w:r w:rsidR="0005465C" w:rsidRPr="00F2068A">
        <w:rPr>
          <w:spacing w:val="-2"/>
        </w:rPr>
        <w:t xml:space="preserve"> designa todos os Pedidos de Chave Válidos incluídos no Total de Tentativas de Transação que resultam num Código de Erro ou que, de outro modo, não devolvem um Código de Êxito no prazo de 30 segundos após a receção por parte do Serviço de Proteção de Conteúdo.</w:t>
      </w:r>
    </w:p>
    <w:p w14:paraId="78B4EB61" w14:textId="421223B1" w:rsidR="0005465C" w:rsidRPr="00F2068A" w:rsidRDefault="0005465C" w:rsidP="00F01ED6">
      <w:pPr>
        <w:pStyle w:val="ProductList-Body"/>
        <w:rPr>
          <w:spacing w:val="-3"/>
        </w:rPr>
      </w:pPr>
      <w:r w:rsidRPr="00F2068A">
        <w:rPr>
          <w:spacing w:val="-3"/>
        </w:rPr>
        <w:t xml:space="preserve">A </w:t>
      </w:r>
      <w:r w:rsidR="00380305" w:rsidRPr="00CB7596">
        <w:t>“</w:t>
      </w:r>
      <w:r w:rsidRPr="00F2068A">
        <w:rPr>
          <w:b/>
          <w:color w:val="00188F"/>
          <w:spacing w:val="-3"/>
        </w:rPr>
        <w:t>Percentagem de Período de Disponibilidade</w:t>
      </w:r>
      <w:r w:rsidR="00380305" w:rsidRPr="00CB7596">
        <w:t>”</w:t>
      </w:r>
      <w:r w:rsidRPr="00F2068A">
        <w:rPr>
          <w:spacing w:val="-3"/>
        </w:rPr>
        <w:t xml:space="preserve"> para os Serviços de Multimédia do Azure é calculada como o Total de Tentativas de Transação menos as Transações com Falha a dividir pelo Total de Tentativas de Transação num Período Aplicável para uma determinada subscrição do Microsoft Azure.</w:t>
      </w:r>
    </w:p>
    <w:p w14:paraId="4FB6D2DC" w14:textId="48010A30" w:rsidR="0005465C" w:rsidRPr="00EF7CF9" w:rsidRDefault="0005465C" w:rsidP="00334D35">
      <w:pPr>
        <w:pStyle w:val="ProductList-Body"/>
        <w:keepNext/>
      </w:pPr>
      <w:r>
        <w:t>A Percentagem de Período de Disponibilidade é calculada através da seguinte fórmula:</w:t>
      </w:r>
    </w:p>
    <w:p w14:paraId="082739F6" w14:textId="5073A515" w:rsidR="0005465C" w:rsidRPr="00EF7CF9" w:rsidRDefault="00000000" w:rsidP="00DD0B5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Proteção de Conteúdo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C7B3EF"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277097">
        <w:tc>
          <w:tcPr>
            <w:tcW w:w="5400" w:type="dxa"/>
          </w:tcPr>
          <w:p w14:paraId="309E53FA" w14:textId="77777777" w:rsidR="0005465C" w:rsidRPr="00EF7CF9" w:rsidRDefault="0005465C" w:rsidP="00F01ED6">
            <w:pPr>
              <w:pStyle w:val="ProductList-OfferingBody"/>
              <w:jc w:val="center"/>
            </w:pPr>
            <w:r>
              <w:t>&lt; 99,9%</w:t>
            </w:r>
          </w:p>
        </w:tc>
        <w:tc>
          <w:tcPr>
            <w:tcW w:w="5400" w:type="dxa"/>
          </w:tcPr>
          <w:p w14:paraId="450872A4" w14:textId="77777777" w:rsidR="0005465C" w:rsidRPr="00EF7CF9" w:rsidRDefault="0005465C" w:rsidP="00F01ED6">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F01ED6">
            <w:pPr>
              <w:pStyle w:val="ProductList-OfferingBody"/>
              <w:jc w:val="center"/>
            </w:pPr>
            <w:r>
              <w:t>&lt; 99%</w:t>
            </w:r>
          </w:p>
        </w:tc>
        <w:tc>
          <w:tcPr>
            <w:tcW w:w="5400" w:type="dxa"/>
          </w:tcPr>
          <w:p w14:paraId="7C259C76" w14:textId="77777777" w:rsidR="0005465C" w:rsidRPr="00EF7CF9" w:rsidRDefault="0005465C" w:rsidP="00F01ED6">
            <w:pPr>
              <w:pStyle w:val="ProductList-OfferingBody"/>
              <w:jc w:val="center"/>
            </w:pPr>
            <w:r>
              <w:t>25%</w:t>
            </w:r>
          </w:p>
        </w:tc>
      </w:tr>
    </w:tbl>
    <w:p w14:paraId="31727C89"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A19FC05" w14:textId="01E8788E" w:rsidR="009C6082" w:rsidRPr="00E53123" w:rsidRDefault="009C6082" w:rsidP="00F01ED6">
      <w:pPr>
        <w:pStyle w:val="ProductList-Offering2Heading"/>
        <w:tabs>
          <w:tab w:val="clear" w:pos="360"/>
          <w:tab w:val="clear" w:pos="720"/>
          <w:tab w:val="clear" w:pos="1080"/>
        </w:tabs>
        <w:outlineLvl w:val="2"/>
      </w:pPr>
      <w:bookmarkStart w:id="326" w:name="_Toc214456843"/>
      <w:r>
        <w:t>Serviço MedTech</w:t>
      </w:r>
      <w:bookmarkEnd w:id="326"/>
    </w:p>
    <w:p w14:paraId="41E626DB" w14:textId="77777777" w:rsidR="009C6082" w:rsidRDefault="009C6082" w:rsidP="00F01ED6">
      <w:pPr>
        <w:shd w:val="clear" w:color="auto" w:fill="FFFFFF"/>
        <w:spacing w:after="0" w:line="240" w:lineRule="auto"/>
        <w:rPr>
          <w:sz w:val="18"/>
        </w:rPr>
      </w:pPr>
      <w:r>
        <w:rPr>
          <w:sz w:val="18"/>
        </w:rPr>
        <w:t>Um serviço MedTech é considerado disponível durante uma janela de um minuto se leu com êxito a partir da origem de dados configurada ou está disponível para leitura a partir de uma origem de dados depois de corretamente configurado.</w:t>
      </w:r>
    </w:p>
    <w:p w14:paraId="4213C408" w14:textId="2F0EC4A3" w:rsidR="009C6082" w:rsidRPr="00E53123" w:rsidRDefault="00EE6E3C" w:rsidP="00F01ED6">
      <w:pPr>
        <w:pStyle w:val="ProductList-Body"/>
        <w:rPr>
          <w:b/>
          <w:color w:val="00188F"/>
        </w:rPr>
      </w:pPr>
      <w:r>
        <w:rPr>
          <w:b/>
          <w:color w:val="00188F"/>
        </w:rPr>
        <w:t>Cálculo do Período de Disponibilidade</w:t>
      </w:r>
    </w:p>
    <w:p w14:paraId="0B543B21" w14:textId="3261A860" w:rsidR="009C6082" w:rsidRDefault="009C6082" w:rsidP="00F01ED6">
      <w:pPr>
        <w:pStyle w:val="ProductList-Body"/>
      </w:pPr>
      <w:r>
        <w:t xml:space="preserve">A </w:t>
      </w:r>
      <w:r w:rsidR="00380305">
        <w:t>“</w:t>
      </w:r>
      <w:r>
        <w:rPr>
          <w:b/>
          <w:color w:val="00188F"/>
        </w:rPr>
        <w:t>Percentagem de Período de Disponibilidade</w:t>
      </w:r>
      <w:r w:rsidR="00380305">
        <w:t>”</w:t>
      </w:r>
      <w:r>
        <w:t xml:space="preserve"> para o serviço MedTech é calculada como o Total de Minutos Disponíveis menos os Minutos Indisponíveis, dividido pelo Total de Minutos em que o serviço MedTech esteve ativo. A Percentagem de Período de Disponibilidade é representada pela seguinte fórmula:</w:t>
      </w:r>
    </w:p>
    <w:p w14:paraId="29A8600A" w14:textId="4E77B1F7" w:rsidR="009C6082"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Disponíveis-Minutos com Falhas</m:t>
              </m:r>
            </m:num>
            <m:den>
              <m:r>
                <m:rPr>
                  <m:nor/>
                </m:rPr>
                <w:rPr>
                  <w:rFonts w:ascii="Cambria Math" w:hAnsi="Cambria Math" w:cs="Calibri"/>
                  <w:i/>
                  <w:iCs/>
                  <w:sz w:val="18"/>
                  <w:szCs w:val="18"/>
                </w:rPr>
                <m:t>Total de Minutos</m:t>
              </m:r>
            </m:den>
          </m:f>
          <m:r>
            <w:rPr>
              <w:rFonts w:ascii="Cambria Math" w:hAnsi="Cambria Math" w:cs="Calibri"/>
              <w:sz w:val="18"/>
              <w:szCs w:val="18"/>
            </w:rPr>
            <m:t xml:space="preserve"> x 100</m:t>
          </m:r>
        </m:oMath>
      </m:oMathPara>
    </w:p>
    <w:p w14:paraId="3B793820" w14:textId="77777777" w:rsidR="009C6082" w:rsidRPr="00954022" w:rsidRDefault="009C6082" w:rsidP="00F01ED6">
      <w:pPr>
        <w:pStyle w:val="ProductList-Body"/>
        <w:rPr>
          <w:b/>
          <w:color w:val="00188F"/>
        </w:rPr>
      </w:pPr>
      <w:r w:rsidRPr="00954022">
        <w:rPr>
          <w:b/>
          <w:color w:val="00188F"/>
        </w:rPr>
        <w:t>Os seguintes Níveis de Serviço e Créditos de Serviço são aplicáveis ao serviço MedTech:</w:t>
      </w:r>
    </w:p>
    <w:p w14:paraId="04C48FDA" w14:textId="77777777" w:rsidR="009C6082" w:rsidRPr="00EF7CF9" w:rsidRDefault="009C608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BCC4D7" w14:textId="77777777" w:rsidR="009C6082" w:rsidRPr="00EF7CF9" w:rsidRDefault="009C6082" w:rsidP="00F01ED6">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0F31B4">
        <w:tc>
          <w:tcPr>
            <w:tcW w:w="5400" w:type="dxa"/>
          </w:tcPr>
          <w:p w14:paraId="19C37249" w14:textId="77777777" w:rsidR="009C6082" w:rsidRPr="00EF7CF9" w:rsidRDefault="009C6082" w:rsidP="00F01ED6">
            <w:pPr>
              <w:pStyle w:val="ProductList-OfferingBody"/>
              <w:jc w:val="center"/>
            </w:pPr>
            <w:r>
              <w:t>&lt; 99,9%</w:t>
            </w:r>
          </w:p>
        </w:tc>
        <w:tc>
          <w:tcPr>
            <w:tcW w:w="5400" w:type="dxa"/>
          </w:tcPr>
          <w:p w14:paraId="7A0412B6" w14:textId="77777777" w:rsidR="009C6082" w:rsidRPr="00EF7CF9" w:rsidRDefault="009C6082" w:rsidP="00F01ED6">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F01ED6">
            <w:pPr>
              <w:pStyle w:val="ProductList-OfferingBody"/>
              <w:jc w:val="center"/>
            </w:pPr>
            <w:r>
              <w:t>&lt; 99%</w:t>
            </w:r>
          </w:p>
        </w:tc>
        <w:tc>
          <w:tcPr>
            <w:tcW w:w="5400" w:type="dxa"/>
          </w:tcPr>
          <w:p w14:paraId="3028563A" w14:textId="77777777" w:rsidR="009C6082" w:rsidRPr="00EF7CF9" w:rsidRDefault="009C6082" w:rsidP="00F01ED6">
            <w:pPr>
              <w:pStyle w:val="ProductList-OfferingBody"/>
              <w:jc w:val="center"/>
            </w:pPr>
            <w:r>
              <w:t>25%</w:t>
            </w:r>
          </w:p>
        </w:tc>
      </w:tr>
    </w:tbl>
    <w:p w14:paraId="1922FC5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D7DE4C" w14:textId="2810258F" w:rsidR="00745257" w:rsidRDefault="00745257" w:rsidP="00E00488">
      <w:pPr>
        <w:pStyle w:val="ProductList-Offering2Heading"/>
        <w:tabs>
          <w:tab w:val="clear" w:pos="360"/>
          <w:tab w:val="clear" w:pos="720"/>
          <w:tab w:val="clear" w:pos="1080"/>
        </w:tabs>
        <w:outlineLvl w:val="2"/>
      </w:pPr>
      <w:bookmarkStart w:id="327" w:name="_Toc214456844"/>
      <w:bookmarkStart w:id="328" w:name="_Toc52348973"/>
      <w:bookmarkStart w:id="329" w:name="_Toc457821565"/>
      <w:r>
        <w:t>Microsoft Fabric</w:t>
      </w:r>
      <w:bookmarkEnd w:id="327"/>
    </w:p>
    <w:p w14:paraId="6A78041D" w14:textId="77777777" w:rsidR="00745257" w:rsidRPr="00917E39" w:rsidRDefault="00745257" w:rsidP="0074525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1942CC24"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Capacidade</w:t>
      </w:r>
      <w:r w:rsidRPr="00FF1FCB">
        <w:rPr>
          <w:rFonts w:ascii="Calibri" w:hAnsi="Calibri" w:cs="Calibri"/>
          <w:b/>
          <w:bCs/>
          <w:color w:val="00188F"/>
        </w:rPr>
        <w:t>:</w:t>
      </w:r>
      <w:r>
        <w:rPr>
          <w:rFonts w:ascii="Calibri" w:hAnsi="Calibri" w:cs="Calibri"/>
          <w:color w:val="000000" w:themeColor="text1"/>
        </w:rPr>
        <w:t xml:space="preserve"> A capacidade é um conjunto dedicado de recursos que está disponível num determinado momento para ser utilizado. A capacidade define a aptidão de um recurso para realizar uma atividade ou produzir resultados. Diferentes itens consomem diferentes capacidades num determinado momento. O Fabric oferece capacidade através de Avaliações e da SKU do Fabric. Para mais informações, consulte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O que é a capacidade</w:t>
      </w:r>
      <w:r>
        <w:fldChar w:fldCharType="end"/>
      </w:r>
      <w:r>
        <w:rPr>
          <w:rStyle w:val="Hyperlink"/>
          <w:rFonts w:ascii="Calibri" w:hAnsi="Calibri" w:cs="Calibri"/>
        </w:rPr>
        <w:t xml:space="preserve"> (</w:t>
      </w:r>
      <w:hyperlink r:id="rId19"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29E415E"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Máximo de Minutos Disponíveis</w:t>
      </w:r>
      <w:r w:rsidRPr="00FF1FCB">
        <w:rPr>
          <w:rFonts w:ascii="Calibri" w:hAnsi="Calibri" w:cs="Calibri"/>
          <w:b/>
          <w:bCs/>
          <w:color w:val="00188F"/>
        </w:rPr>
        <w:t>:</w:t>
      </w:r>
      <w:r>
        <w:rPr>
          <w:rFonts w:ascii="Calibri" w:hAnsi="Calibri" w:cs="Calibri"/>
          <w:color w:val="000000" w:themeColor="text1"/>
        </w:rPr>
        <w:t xml:space="preserve"> A soma de todos os minutos durante os quais uma determinada Capacidade individual foi atribuída a uma instância durante um Período Aplicável para um determinado inquilino.</w:t>
      </w:r>
    </w:p>
    <w:p w14:paraId="7C3E8724" w14:textId="77777777" w:rsidR="00745257" w:rsidRPr="00917E39" w:rsidRDefault="00745257" w:rsidP="00840862">
      <w:pPr>
        <w:pStyle w:val="ProductList-Body"/>
        <w:rPr>
          <w:rFonts w:ascii="Calibri" w:hAnsi="Calibri" w:cs="Calibri"/>
          <w:color w:val="000000" w:themeColor="text1"/>
        </w:rPr>
      </w:pPr>
      <w:r>
        <w:rPr>
          <w:rFonts w:ascii="Calibri" w:hAnsi="Calibri" w:cs="Calibri"/>
          <w:b/>
          <w:bCs/>
          <w:color w:val="00188F"/>
        </w:rPr>
        <w:lastRenderedPageBreak/>
        <w:t>Minutos de Período de Indisponibilidade*</w:t>
      </w:r>
      <w:r w:rsidRPr="00FF1FCB">
        <w:rPr>
          <w:rFonts w:ascii="Calibri" w:hAnsi="Calibri" w:cs="Calibri"/>
          <w:b/>
          <w:bCs/>
          <w:color w:val="00188F"/>
        </w:rPr>
        <w:t>:</w:t>
      </w:r>
      <w:r>
        <w:rPr>
          <w:rFonts w:ascii="Calibri" w:hAnsi="Calibri" w:cs="Calibri"/>
          <w:color w:val="000000" w:themeColor="text1"/>
        </w:rPr>
        <w:t xml:space="preserve"> O total de minutos acumulados num Período Aplicável para uma determinada Capacidade, após a sua criação, ou antes de ser desaprovisionada, durante os quais não é possível utilizar a Capacidade em todas as funcionalidades aplicáveis do Fabrica listadas abaixo:</w:t>
      </w:r>
    </w:p>
    <w:p w14:paraId="05D361AC"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Power BI: redirecionar para a secção Power BI</w:t>
      </w:r>
    </w:p>
    <w:p w14:paraId="1956C50D"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Ver:</w:t>
      </w:r>
      <w:r>
        <w:rPr>
          <w:rFonts w:ascii="Calibri" w:hAnsi="Calibri" w:cs="Calibri"/>
          <w:szCs w:val="18"/>
        </w:rPr>
        <w:t xml:space="preserve"> ver Dashboards, Relatórios e Aplicações do Power BI no serviço.</w:t>
      </w:r>
    </w:p>
    <w:p w14:paraId="30D234BA"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Atualização do Conjunto de Dados:</w:t>
      </w:r>
      <w:r>
        <w:rPr>
          <w:rFonts w:ascii="Calibri" w:hAnsi="Calibri" w:cs="Calibri"/>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0B3D9578" w14:textId="77777777" w:rsidR="00745257" w:rsidRPr="00917E39" w:rsidRDefault="00745257" w:rsidP="00840862">
      <w:pPr>
        <w:pStyle w:val="ProductList-Body"/>
        <w:ind w:left="180"/>
        <w:rPr>
          <w:rFonts w:ascii="Calibri" w:hAnsi="Calibri" w:cs="Calibri"/>
          <w:szCs w:val="18"/>
        </w:rPr>
      </w:pPr>
      <w:r>
        <w:rPr>
          <w:rFonts w:ascii="Calibri" w:hAnsi="Calibri" w:cs="Calibri"/>
          <w:b/>
          <w:color w:val="00188F"/>
        </w:rPr>
        <w:t>Acesso ao Portal do Power BI:</w:t>
      </w:r>
      <w:r>
        <w:rPr>
          <w:rFonts w:ascii="Calibri" w:hAnsi="Calibri" w:cs="Calibri"/>
          <w:szCs w:val="18"/>
        </w:rPr>
        <w:t xml:space="preserve"> acesso e utilização do Portal do Power BI dentro dos períodos esperados, tendo em consideração as condições e as limitações da rede, locais do ambiente do cliente ou externas à Microsoft.</w:t>
      </w:r>
    </w:p>
    <w:p w14:paraId="549BE486"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Gestor de Dados</w:t>
      </w:r>
    </w:p>
    <w:p w14:paraId="7B9AD0E7"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Atualização do Fluxo de Dados de Gen2:</w:t>
      </w:r>
      <w:r>
        <w:rPr>
          <w:rFonts w:ascii="Calibri" w:hAnsi="Calibri" w:cs="Calibri"/>
          <w:szCs w:val="18"/>
        </w:rPr>
        <w:t xml:space="preserve"> Agende ou acione manualmente uma operação de atualização e espere pela conclusão dessas operações.</w:t>
      </w:r>
    </w:p>
    <w:p w14:paraId="7D4D2127"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Pipelin</w:t>
      </w:r>
      <w:r w:rsidRPr="00FF1FCB">
        <w:rPr>
          <w:rFonts w:ascii="Calibri" w:hAnsi="Calibri" w:cs="Calibri"/>
          <w:b/>
          <w:bCs/>
          <w:color w:val="00188F"/>
        </w:rPr>
        <w:t>e:</w:t>
      </w:r>
      <w:r>
        <w:rPr>
          <w:rFonts w:ascii="Calibri" w:hAnsi="Calibri" w:cs="Calibri"/>
          <w:szCs w:val="18"/>
        </w:rPr>
        <w:t xml:space="preserve"> abra Pipelines no serviço.</w:t>
      </w:r>
    </w:p>
    <w:p w14:paraId="12FDE376"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Engenharia de Dados</w:t>
      </w:r>
    </w:p>
    <w:p w14:paraId="310BD6F2"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 xml:space="preserve">Abrir </w:t>
      </w:r>
      <w:r w:rsidRPr="00FF1FCB">
        <w:rPr>
          <w:rFonts w:ascii="Calibri" w:hAnsi="Calibri" w:cs="Calibri"/>
          <w:b/>
          <w:bCs/>
          <w:color w:val="00188F"/>
        </w:rPr>
        <w:t>Lakehouse:</w:t>
      </w:r>
      <w:r>
        <w:rPr>
          <w:rFonts w:ascii="Calibri" w:hAnsi="Calibri" w:cs="Calibri"/>
          <w:szCs w:val="18"/>
        </w:rPr>
        <w:t xml:space="preserve"> abra e veja uma Lakehouse no serviço.</w:t>
      </w:r>
    </w:p>
    <w:p w14:paraId="2E41DAC8"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Bloco de Notas:</w:t>
      </w:r>
      <w:r>
        <w:rPr>
          <w:rFonts w:ascii="Calibri" w:hAnsi="Calibri" w:cs="Calibri"/>
          <w:szCs w:val="18"/>
        </w:rPr>
        <w:t xml:space="preserve"> abra e veja uma Bloco de Notas no serviço.</w:t>
      </w:r>
    </w:p>
    <w:p w14:paraId="4AEF2803" w14:textId="77777777" w:rsidR="00745257" w:rsidRDefault="00745257" w:rsidP="00840862">
      <w:pPr>
        <w:pStyle w:val="ProductList-Body"/>
        <w:ind w:left="187"/>
        <w:rPr>
          <w:rFonts w:ascii="Calibri" w:hAnsi="Calibri" w:cs="Calibri"/>
          <w:szCs w:val="18"/>
        </w:rPr>
      </w:pPr>
      <w:r>
        <w:rPr>
          <w:rFonts w:ascii="Calibri" w:hAnsi="Calibri" w:cs="Calibri"/>
          <w:b/>
          <w:color w:val="00188F"/>
        </w:rPr>
        <w:t xml:space="preserve">Abrir Definição de Trabalho do </w:t>
      </w:r>
      <w:r w:rsidRPr="00FF1FCB">
        <w:rPr>
          <w:rFonts w:ascii="Calibri" w:hAnsi="Calibri" w:cs="Calibri"/>
          <w:b/>
          <w:bCs/>
          <w:color w:val="00188F"/>
        </w:rPr>
        <w:t>Spark:</w:t>
      </w:r>
      <w:r>
        <w:rPr>
          <w:rFonts w:ascii="Calibri" w:hAnsi="Calibri" w:cs="Calibri"/>
          <w:szCs w:val="18"/>
        </w:rPr>
        <w:t xml:space="preserve"> abra e veja uma Definição de Trabalho de Spark no serviço.</w:t>
      </w:r>
    </w:p>
    <w:p w14:paraId="4B60D8E8" w14:textId="6F31CE7A" w:rsidR="0064688B" w:rsidRPr="0064688B" w:rsidRDefault="0064688B" w:rsidP="0064688B">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Abrir API para GraphQL:</w:t>
      </w:r>
      <w:r>
        <w:rPr>
          <w:rFonts w:ascii="Calibri" w:eastAsia="Calibri" w:hAnsi="Calibri" w:cs="Arial"/>
          <w:sz w:val="18"/>
          <w:szCs w:val="18"/>
        </w:rPr>
        <w:t xml:space="preserve"> abra e veja uma API de GraphQL no serviço.</w:t>
      </w:r>
    </w:p>
    <w:p w14:paraId="53DED228"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Ciência de Dados</w:t>
      </w:r>
    </w:p>
    <w:p w14:paraId="2D7734DF" w14:textId="6E896C9A"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modelo ML:</w:t>
      </w:r>
      <w:r>
        <w:rPr>
          <w:rFonts w:ascii="Calibri" w:hAnsi="Calibri" w:cs="Calibri"/>
          <w:szCs w:val="18"/>
        </w:rPr>
        <w:t xml:space="preserve"> abra e veja os modelos ML no serviço.</w:t>
      </w:r>
    </w:p>
    <w:p w14:paraId="2A36AA59"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Armazém de Dados</w:t>
      </w:r>
    </w:p>
    <w:p w14:paraId="0E31D660" w14:textId="77777777" w:rsidR="00462EB3" w:rsidRPr="00917E39" w:rsidRDefault="00462EB3" w:rsidP="00840862">
      <w:pPr>
        <w:pStyle w:val="ProductList-Body"/>
        <w:ind w:left="187"/>
        <w:rPr>
          <w:rFonts w:ascii="Calibri" w:hAnsi="Calibri" w:cs="Calibri"/>
          <w:szCs w:val="18"/>
        </w:rPr>
      </w:pPr>
      <w:r>
        <w:rPr>
          <w:rFonts w:ascii="Calibri" w:hAnsi="Calibri" w:cs="Calibri"/>
          <w:b/>
          <w:color w:val="00188F"/>
        </w:rPr>
        <w:t>Abrir Base de Dados:</w:t>
      </w:r>
      <w:r>
        <w:rPr>
          <w:rFonts w:ascii="Calibri" w:hAnsi="Calibri" w:cs="Calibri"/>
          <w:szCs w:val="18"/>
        </w:rPr>
        <w:t xml:space="preserve"> abra e veja uma base de dados de Armazém de Dados no serviço.</w:t>
      </w:r>
    </w:p>
    <w:p w14:paraId="28F9E3A3"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Análise em Tempo Real</w:t>
      </w:r>
    </w:p>
    <w:p w14:paraId="159EB7FD" w14:textId="77777777" w:rsidR="00462EB3" w:rsidRPr="00917E39" w:rsidRDefault="00462EB3" w:rsidP="00840862">
      <w:pPr>
        <w:pStyle w:val="ProductList-Body"/>
        <w:ind w:left="187"/>
        <w:rPr>
          <w:rFonts w:ascii="Calibri" w:hAnsi="Calibri" w:cs="Calibri"/>
          <w:szCs w:val="18"/>
        </w:rPr>
      </w:pPr>
      <w:r>
        <w:rPr>
          <w:rFonts w:ascii="Calibri" w:hAnsi="Calibri" w:cs="Calibri"/>
          <w:b/>
          <w:color w:val="00188F"/>
        </w:rPr>
        <w:t>Abrir Eventstream:</w:t>
      </w:r>
      <w:r>
        <w:rPr>
          <w:rFonts w:ascii="Calibri" w:hAnsi="Calibri" w:cs="Calibri"/>
          <w:szCs w:val="18"/>
        </w:rPr>
        <w:t xml:space="preserve"> abra e veja Eventstreams no serviço.</w:t>
      </w:r>
    </w:p>
    <w:p w14:paraId="05051B3D" w14:textId="77777777" w:rsidR="00462EB3" w:rsidRPr="00917E39" w:rsidRDefault="00462EB3" w:rsidP="00840862">
      <w:pPr>
        <w:pStyle w:val="ProductList-Body"/>
        <w:ind w:left="187"/>
        <w:rPr>
          <w:rFonts w:ascii="Calibri" w:hAnsi="Calibri" w:cs="Calibri"/>
          <w:szCs w:val="18"/>
        </w:rPr>
      </w:pPr>
      <w:r>
        <w:rPr>
          <w:rFonts w:ascii="Calibri" w:hAnsi="Calibri" w:cs="Calibri"/>
          <w:b/>
          <w:bCs/>
          <w:color w:val="00188F"/>
        </w:rPr>
        <w:t>Abrir Base de Dados KQL:</w:t>
      </w:r>
      <w:r>
        <w:rPr>
          <w:rFonts w:ascii="Calibri" w:hAnsi="Calibri" w:cs="Calibri"/>
        </w:rPr>
        <w:t xml:space="preserve"> abra e veja uma base de dados KQL no serviço.</w:t>
      </w:r>
    </w:p>
    <w:p w14:paraId="62D7C8FF" w14:textId="77777777" w:rsidR="0027169B" w:rsidRPr="00A115EE" w:rsidRDefault="0027169B" w:rsidP="0027169B">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Base de Dados SQL</w:t>
      </w:r>
    </w:p>
    <w:p w14:paraId="0B46DA6C" w14:textId="77777777" w:rsidR="0027169B" w:rsidRDefault="0027169B" w:rsidP="0027169B">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“Base de Dados SQL” </w:t>
      </w:r>
      <w:r>
        <w:rPr>
          <w:rFonts w:ascii="Calibri" w:eastAsia="Times New Roman" w:hAnsi="Calibri" w:cs="Calibri"/>
          <w:sz w:val="18"/>
          <w:szCs w:val="18"/>
        </w:rPr>
        <w:t>designa qualquer base de dados SQL criada no espaço de trabalho do Microsoft Fabric.</w:t>
      </w:r>
    </w:p>
    <w:p w14:paraId="38361769" w14:textId="77777777" w:rsidR="0027169B" w:rsidRPr="007572A7" w:rsidRDefault="0027169B" w:rsidP="0027169B">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Abrir Base de Dados</w:t>
      </w:r>
      <w:r>
        <w:rPr>
          <w:rFonts w:ascii="Calibri" w:eastAsia="Times New Roman" w:hAnsi="Calibri" w:cs="Calibri"/>
          <w:sz w:val="18"/>
          <w:szCs w:val="18"/>
        </w:rPr>
        <w:t>: abra e veja uma base de dados SQL no serviço.</w:t>
      </w:r>
    </w:p>
    <w:p w14:paraId="0E2CD723" w14:textId="77777777" w:rsidR="0027169B" w:rsidRPr="00A115EE" w:rsidRDefault="0027169B" w:rsidP="0027169B">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694611D5" w14:textId="77777777" w:rsidR="0027169B" w:rsidRDefault="0027169B" w:rsidP="0027169B">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“Contentor Cosmos DB” </w:t>
      </w:r>
      <w:r>
        <w:rPr>
          <w:rFonts w:ascii="Calibri" w:eastAsia="Times New Roman" w:hAnsi="Calibri" w:cs="Calibri"/>
          <w:sz w:val="18"/>
          <w:szCs w:val="18"/>
        </w:rPr>
        <w:t>designa qualquer contentor Cosmos DB criado no espaço de trabalho do Microsoft Fabric.</w:t>
      </w:r>
    </w:p>
    <w:p w14:paraId="40271A74" w14:textId="77777777" w:rsidR="0027169B" w:rsidRPr="007572A7" w:rsidRDefault="0027169B" w:rsidP="0027169B">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Abrir Contentor</w:t>
      </w:r>
      <w:r>
        <w:rPr>
          <w:rFonts w:ascii="Calibri" w:eastAsia="Times New Roman" w:hAnsi="Calibri" w:cs="Calibri"/>
          <w:sz w:val="18"/>
          <w:szCs w:val="18"/>
        </w:rPr>
        <w:t>: abra e veja um contentor Cosmos DB no serviço.</w:t>
      </w:r>
    </w:p>
    <w:p w14:paraId="2FF29AB9" w14:textId="2C6BB915" w:rsidR="00462EB3" w:rsidRPr="00917E39" w:rsidRDefault="00462EB3" w:rsidP="00840862">
      <w:pPr>
        <w:pStyle w:val="ProductList-Body"/>
        <w:rPr>
          <w:rFonts w:ascii="Calibri" w:hAnsi="Calibri" w:cs="Calibri"/>
          <w:b/>
          <w:bCs/>
          <w:color w:val="00188F"/>
        </w:rPr>
      </w:pPr>
      <w:r>
        <w:rPr>
          <w:rFonts w:ascii="Calibri" w:hAnsi="Calibri" w:cs="Calibri"/>
          <w:b/>
          <w:bCs/>
          <w:color w:val="00188F"/>
        </w:rPr>
        <w:t>OneLake</w:t>
      </w:r>
    </w:p>
    <w:p w14:paraId="09268174" w14:textId="77777777" w:rsidR="00462EB3" w:rsidRPr="00917E39" w:rsidRDefault="00462EB3" w:rsidP="00840862">
      <w:pPr>
        <w:pStyle w:val="ProductList-Body"/>
        <w:ind w:left="187"/>
        <w:rPr>
          <w:rFonts w:ascii="Calibri" w:hAnsi="Calibri" w:cs="Calibri"/>
          <w:szCs w:val="18"/>
        </w:rPr>
      </w:pPr>
      <w:r>
        <w:rPr>
          <w:rFonts w:ascii="Calibri" w:hAnsi="Calibri" w:cs="Calibri"/>
          <w:b/>
          <w:bCs/>
          <w:color w:val="00188F"/>
        </w:rPr>
        <w:t xml:space="preserve">Transações de leitura de OneLake: </w:t>
      </w:r>
      <w:r>
        <w:rPr>
          <w:rFonts w:ascii="Calibri" w:hAnsi="Calibri" w:cs="Calibri"/>
        </w:rPr>
        <w:t>Quaisquer operações de leitura para APIs DFS de OneLake</w:t>
      </w:r>
      <w:r>
        <w:rPr>
          <w:rFonts w:ascii="Calibri" w:hAnsi="Calibri" w:cs="Calibri"/>
          <w:color w:val="00188F"/>
        </w:rPr>
        <w:t>.</w:t>
      </w:r>
    </w:p>
    <w:p w14:paraId="2540F53E" w14:textId="77777777" w:rsidR="00462EB3" w:rsidRDefault="00462EB3" w:rsidP="00462EB3">
      <w:pPr>
        <w:pStyle w:val="ProductList-Body"/>
        <w:rPr>
          <w:rFonts w:ascii="Calibri" w:hAnsi="Calibri" w:cs="Calibri"/>
          <w:color w:val="000000" w:themeColor="text1"/>
        </w:rPr>
      </w:pPr>
      <w:r>
        <w:rPr>
          <w:rFonts w:ascii="Calibri" w:hAnsi="Calibri" w:cs="Calibri"/>
          <w:b/>
          <w:bCs/>
          <w:color w:val="00188F"/>
        </w:rPr>
        <w:t>Percentagem de Período de Disponibilidade</w:t>
      </w:r>
      <w:r w:rsidRPr="00FF1FCB">
        <w:rPr>
          <w:rFonts w:ascii="Calibri" w:hAnsi="Calibri" w:cs="Calibri"/>
          <w:b/>
          <w:bCs/>
          <w:color w:val="00188F"/>
        </w:rPr>
        <w:t>:</w:t>
      </w:r>
      <w:r>
        <w:rPr>
          <w:rFonts w:ascii="Calibri" w:hAnsi="Calibri" w:cs="Calibri"/>
          <w:color w:val="000000" w:themeColor="text1"/>
        </w:rPr>
        <w:t xml:space="preserve"> A Percentagem de Período de Disponibilidade é calculada através da seguinte fórmula:</w:t>
      </w:r>
    </w:p>
    <w:p w14:paraId="480D048B" w14:textId="77777777" w:rsidR="00462EB3" w:rsidRPr="00EF7CF9" w:rsidRDefault="00000000" w:rsidP="002212EA">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742B1A" w14:textId="77777777" w:rsidR="00462EB3" w:rsidRPr="006D4D6A" w:rsidRDefault="00462EB3" w:rsidP="00462EB3">
      <w:pPr>
        <w:pStyle w:val="ProductList-Body"/>
        <w:rPr>
          <w:rFonts w:ascii="Calibri" w:hAnsi="Calibri" w:cs="Calibri"/>
        </w:rPr>
      </w:pPr>
      <w:r>
        <w:rPr>
          <w:rFonts w:ascii="Calibri" w:hAnsi="Calibri" w:cs="Calibri"/>
          <w:b/>
          <w:bCs/>
          <w:color w:val="00188F"/>
        </w:rPr>
        <w:t>*</w:t>
      </w:r>
      <w:r>
        <w:rPr>
          <w:rFonts w:ascii="Calibri" w:hAnsi="Calibri" w:cs="Calibri"/>
        </w:rPr>
        <w:t>Os Minutos de Período de Indisponibilidade não incluem qualquer período de tempo em que a incapacidade de utilizar as funcionalidades do Fabric numa determinada capacidade se deva à política de limitação do Microsoft Fabric.</w:t>
      </w:r>
    </w:p>
    <w:p w14:paraId="06B5659C" w14:textId="77777777" w:rsidR="00462EB3" w:rsidRPr="00917E39" w:rsidRDefault="00462EB3" w:rsidP="00462EB3">
      <w:pPr>
        <w:pStyle w:val="ProductList-Body"/>
        <w:rPr>
          <w:rFonts w:ascii="Calibri" w:hAnsi="Calibri" w:cs="Calibri"/>
          <w:b/>
        </w:rPr>
      </w:pPr>
      <w:r>
        <w:rPr>
          <w:rFonts w:ascii="Calibri" w:hAnsi="Calibri" w:cs="Calibri"/>
          <w:b/>
          <w:color w:val="00188F"/>
        </w:rPr>
        <w:t>Crédito de Serviço</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2EB3" w:rsidRPr="00B44CF9" w14:paraId="53477AAD" w14:textId="77777777" w:rsidTr="00710B68">
        <w:trPr>
          <w:tblHeader/>
        </w:trPr>
        <w:tc>
          <w:tcPr>
            <w:tcW w:w="5400" w:type="dxa"/>
            <w:shd w:val="clear" w:color="auto" w:fill="0072C6"/>
          </w:tcPr>
          <w:p w14:paraId="7807BF00" w14:textId="77777777" w:rsidR="00462EB3" w:rsidRPr="00EF7CF9" w:rsidRDefault="00462EB3" w:rsidP="00710B68">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75F14" w14:textId="77777777" w:rsidR="00462EB3" w:rsidRPr="00EF7CF9" w:rsidRDefault="00462EB3" w:rsidP="00710B68">
            <w:pPr>
              <w:pStyle w:val="ProductList-OfferingBody"/>
              <w:jc w:val="center"/>
              <w:rPr>
                <w:color w:val="FFFFFF" w:themeColor="background1"/>
              </w:rPr>
            </w:pPr>
            <w:r>
              <w:rPr>
                <w:color w:val="FFFFFF" w:themeColor="background1"/>
              </w:rPr>
              <w:t>Crédito de Serviço</w:t>
            </w:r>
          </w:p>
        </w:tc>
      </w:tr>
      <w:tr w:rsidR="00462EB3" w:rsidRPr="00B44CF9" w14:paraId="2667F2EF" w14:textId="77777777" w:rsidTr="00710B68">
        <w:tc>
          <w:tcPr>
            <w:tcW w:w="5400" w:type="dxa"/>
          </w:tcPr>
          <w:p w14:paraId="783A14B6" w14:textId="77777777" w:rsidR="00462EB3" w:rsidRPr="00EF7CF9" w:rsidRDefault="00462EB3" w:rsidP="00710B68">
            <w:pPr>
              <w:pStyle w:val="ProductList-OfferingBody"/>
              <w:jc w:val="center"/>
            </w:pPr>
            <w:r>
              <w:t>&lt; 99,9%</w:t>
            </w:r>
          </w:p>
        </w:tc>
        <w:tc>
          <w:tcPr>
            <w:tcW w:w="5400" w:type="dxa"/>
          </w:tcPr>
          <w:p w14:paraId="67399076" w14:textId="77777777" w:rsidR="00462EB3" w:rsidRPr="00EF7CF9" w:rsidRDefault="00462EB3" w:rsidP="00710B68">
            <w:pPr>
              <w:pStyle w:val="ProductList-OfferingBody"/>
              <w:jc w:val="center"/>
            </w:pPr>
            <w:r>
              <w:t>10%</w:t>
            </w:r>
          </w:p>
        </w:tc>
      </w:tr>
      <w:tr w:rsidR="00462EB3" w:rsidRPr="00B44CF9" w14:paraId="5306862D" w14:textId="77777777" w:rsidTr="00710B68">
        <w:tc>
          <w:tcPr>
            <w:tcW w:w="5400" w:type="dxa"/>
          </w:tcPr>
          <w:p w14:paraId="7CDF7C29" w14:textId="77777777" w:rsidR="00462EB3" w:rsidRPr="00EF7CF9" w:rsidRDefault="00462EB3" w:rsidP="00710B68">
            <w:pPr>
              <w:pStyle w:val="ProductList-OfferingBody"/>
              <w:jc w:val="center"/>
            </w:pPr>
            <w:r>
              <w:t>&lt; 99%</w:t>
            </w:r>
          </w:p>
        </w:tc>
        <w:tc>
          <w:tcPr>
            <w:tcW w:w="5400" w:type="dxa"/>
          </w:tcPr>
          <w:p w14:paraId="24AB19B9" w14:textId="77777777" w:rsidR="00462EB3" w:rsidRPr="00EF7CF9" w:rsidRDefault="00462EB3" w:rsidP="00710B68">
            <w:pPr>
              <w:pStyle w:val="ProductList-OfferingBody"/>
              <w:jc w:val="center"/>
            </w:pPr>
            <w:r>
              <w:t>25%</w:t>
            </w:r>
          </w:p>
        </w:tc>
      </w:tr>
    </w:tbl>
    <w:p w14:paraId="3C56607D" w14:textId="77777777" w:rsidR="00462EB3" w:rsidRPr="00EF7CF9" w:rsidRDefault="00462EB3" w:rsidP="00462E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739C090" w14:textId="2381B0DD" w:rsidR="00CA66E5" w:rsidRPr="00EF7CF9" w:rsidRDefault="00CA66E5" w:rsidP="00A45F33">
      <w:pPr>
        <w:pStyle w:val="ProductList-Offering2Heading"/>
        <w:keepNext/>
        <w:keepLines/>
        <w:tabs>
          <w:tab w:val="clear" w:pos="360"/>
          <w:tab w:val="clear" w:pos="720"/>
          <w:tab w:val="clear" w:pos="1080"/>
        </w:tabs>
        <w:outlineLvl w:val="2"/>
      </w:pPr>
      <w:bookmarkStart w:id="330" w:name="_Toc214456845"/>
      <w:r>
        <w:t>Microsoft Genomics</w:t>
      </w:r>
      <w:bookmarkEnd w:id="328"/>
      <w:bookmarkEnd w:id="330"/>
    </w:p>
    <w:p w14:paraId="0D9D2ADC" w14:textId="77777777" w:rsidR="00CA66E5" w:rsidRPr="00F2068A" w:rsidRDefault="00CA66E5" w:rsidP="00A45F33">
      <w:pPr>
        <w:pStyle w:val="ProductList-Body"/>
        <w:keepNext/>
        <w:keepLines/>
        <w:rPr>
          <w:rFonts w:cstheme="minorHAnsi"/>
          <w:b/>
          <w:color w:val="00188F"/>
          <w:szCs w:val="18"/>
        </w:rPr>
      </w:pPr>
      <w:r w:rsidRPr="00F2068A">
        <w:rPr>
          <w:rFonts w:cstheme="minorHAnsi"/>
          <w:b/>
          <w:color w:val="00188F"/>
          <w:szCs w:val="18"/>
        </w:rPr>
        <w:t>Definições Adicionais</w:t>
      </w:r>
      <w:r w:rsidRPr="00473DD3">
        <w:rPr>
          <w:rFonts w:cstheme="minorHAnsi"/>
          <w:b/>
          <w:color w:val="00188F"/>
          <w:szCs w:val="18"/>
        </w:rPr>
        <w:t>:</w:t>
      </w:r>
    </w:p>
    <w:p w14:paraId="6181E587" w14:textId="60CF2B12" w:rsidR="00CA66E5" w:rsidRPr="006F3CBD" w:rsidRDefault="00380305" w:rsidP="00F01ED6">
      <w:pPr>
        <w:spacing w:after="0" w:line="240" w:lineRule="auto"/>
        <w:rPr>
          <w:rFonts w:cstheme="minorHAnsi"/>
          <w:strike/>
          <w:sz w:val="18"/>
          <w:szCs w:val="18"/>
        </w:rPr>
      </w:pPr>
      <w:r>
        <w:rPr>
          <w:rFonts w:cstheme="minorHAnsi"/>
          <w:sz w:val="18"/>
          <w:szCs w:val="18"/>
        </w:rPr>
        <w:t>“</w:t>
      </w:r>
      <w:r w:rsidR="00CA66E5" w:rsidRPr="00F2068A">
        <w:rPr>
          <w:rFonts w:eastAsiaTheme="minorEastAsia" w:cstheme="minorHAnsi"/>
          <w:b/>
          <w:color w:val="00188F"/>
          <w:sz w:val="18"/>
          <w:szCs w:val="18"/>
        </w:rPr>
        <w:t>Máximo de Minutos Disponíveis</w:t>
      </w:r>
      <w:r>
        <w:rPr>
          <w:rFonts w:cstheme="minorHAnsi"/>
          <w:sz w:val="18"/>
          <w:szCs w:val="18"/>
        </w:rPr>
        <w:t>”</w:t>
      </w:r>
      <w:r w:rsidR="00CA66E5" w:rsidRPr="00F2068A">
        <w:rPr>
          <w:rFonts w:cstheme="minorHAnsi"/>
          <w:sz w:val="18"/>
          <w:szCs w:val="18"/>
        </w:rPr>
        <w:t xml:space="preserve"> é o número total de minutos acumulados para todas as contas do Microsoft Genomics criadas pelo Cliente e</w:t>
      </w:r>
      <w:r w:rsidR="005E5DC2">
        <w:rPr>
          <w:rFonts w:cstheme="minorHAnsi"/>
          <w:sz w:val="18"/>
          <w:szCs w:val="18"/>
        </w:rPr>
        <w:t> </w:t>
      </w:r>
      <w:r w:rsidR="00CA66E5" w:rsidRPr="00F2068A">
        <w:rPr>
          <w:rFonts w:cstheme="minorHAnsi"/>
          <w:sz w:val="18"/>
          <w:szCs w:val="18"/>
        </w:rPr>
        <w:t>ativas durante um Período Aplicável para uma determinada Subscrição do Microsoft Azure.</w:t>
      </w:r>
    </w:p>
    <w:p w14:paraId="4F4F614E" w14:textId="579BD7E0" w:rsidR="00CA66E5" w:rsidRPr="006F3CBD" w:rsidRDefault="00380305" w:rsidP="00F01ED6">
      <w:pPr>
        <w:spacing w:after="0" w:line="240" w:lineRule="auto"/>
        <w:rPr>
          <w:rFonts w:cstheme="minorHAnsi"/>
          <w:sz w:val="18"/>
          <w:szCs w:val="18"/>
        </w:rPr>
      </w:pPr>
      <w:r>
        <w:rPr>
          <w:rFonts w:cstheme="minorHAnsi"/>
          <w:sz w:val="18"/>
          <w:szCs w:val="18"/>
        </w:rPr>
        <w:t>“</w:t>
      </w:r>
      <w:r w:rsidR="00CA66E5" w:rsidRPr="00F2068A">
        <w:rPr>
          <w:rFonts w:cstheme="minorHAnsi"/>
          <w:b/>
          <w:color w:val="00188F"/>
          <w:sz w:val="18"/>
          <w:szCs w:val="18"/>
        </w:rPr>
        <w:t>Período de Indisponibilidade</w:t>
      </w:r>
      <w:r>
        <w:rPr>
          <w:rFonts w:cstheme="minorHAnsi"/>
          <w:sz w:val="18"/>
          <w:szCs w:val="18"/>
        </w:rPr>
        <w:t>”</w:t>
      </w:r>
      <w:r w:rsidR="00CA66E5" w:rsidRPr="00F2068A">
        <w:rPr>
          <w:rFonts w:cstheme="minorHAnsi"/>
          <w:sz w:val="18"/>
          <w:szCs w:val="18"/>
        </w:rPr>
        <w:t xml:space="preserve"> é o número total de minutos no Máximo de Minutos Disponíveis durante o qual o Microsoft Genomics está indisponível. Um minuto é considerado indisponível se todas as tentativas contínuas para enviar pedidos autenticados da API REST do serviço Genomics nesse minuto devolverem um Código de Erro ou não responderem com uma confirmação nesse minuto. </w:t>
      </w:r>
    </w:p>
    <w:p w14:paraId="3354D171" w14:textId="523044E7" w:rsidR="00CA66E5" w:rsidRPr="006F3CBD" w:rsidRDefault="00CA66E5" w:rsidP="00F01ED6">
      <w:pPr>
        <w:spacing w:after="0" w:line="240" w:lineRule="auto"/>
        <w:rPr>
          <w:rFonts w:cstheme="minorHAnsi"/>
          <w:sz w:val="18"/>
          <w:szCs w:val="18"/>
        </w:rPr>
      </w:pPr>
      <w:r w:rsidRPr="00F2068A">
        <w:rPr>
          <w:rFonts w:cstheme="minorHAnsi"/>
          <w:sz w:val="18"/>
          <w:szCs w:val="18"/>
        </w:rPr>
        <w:t xml:space="preserve">A </w:t>
      </w:r>
      <w:r w:rsidR="00380305">
        <w:rPr>
          <w:rFonts w:cstheme="minorHAnsi"/>
          <w:sz w:val="18"/>
          <w:szCs w:val="18"/>
        </w:rPr>
        <w:t>“</w:t>
      </w:r>
      <w:r w:rsidRPr="00F2068A">
        <w:rPr>
          <w:rFonts w:cstheme="minorHAnsi"/>
          <w:b/>
          <w:color w:val="00188F"/>
          <w:sz w:val="18"/>
          <w:szCs w:val="18"/>
        </w:rPr>
        <w:t>Percentagem de Período de Disponibilidade</w:t>
      </w:r>
      <w:r w:rsidR="00380305">
        <w:rPr>
          <w:rFonts w:cstheme="minorHAnsi"/>
          <w:sz w:val="18"/>
          <w:szCs w:val="18"/>
        </w:rPr>
        <w:t>”</w:t>
      </w:r>
      <w:r w:rsidRPr="00F2068A">
        <w:rPr>
          <w:rFonts w:cstheme="minorHAnsi"/>
          <w:sz w:val="18"/>
          <w:szCs w:val="18"/>
        </w:rPr>
        <w:t xml:space="preserve"> para o Microsoft Genomics é calculada com a seguinte fórmula:</w:t>
      </w:r>
    </w:p>
    <w:p w14:paraId="39B2D33A" w14:textId="79F54080" w:rsidR="00CA66E5" w:rsidRPr="007B6BC6" w:rsidRDefault="00000000" w:rsidP="00D67D10">
      <w:pPr>
        <w:spacing w:before="120" w:after="0" w:line="240" w:lineRule="auto"/>
        <w:rPr>
          <w:sz w:val="18"/>
          <w:szCs w:val="18"/>
          <w:lang w:val="es-ES"/>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C5E3343" w14:textId="77777777" w:rsidR="00CA66E5" w:rsidRPr="00EF7CF9" w:rsidRDefault="00CA66E5" w:rsidP="00F01ED6">
      <w:pPr>
        <w:pStyle w:val="ProductList-Body"/>
      </w:pPr>
      <w:r>
        <w:rPr>
          <w:b/>
          <w:color w:val="00188F"/>
        </w:rPr>
        <w:t>Crédito de Serviço</w:t>
      </w:r>
      <w:r w:rsidRPr="00473DD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907318" w:rsidRDefault="00AC48A7" w:rsidP="00840862">
            <w:pPr>
              <w:spacing w:before="20" w:after="20"/>
              <w:ind w:left="-14" w:right="-101"/>
              <w:jc w:val="center"/>
              <w:rPr>
                <w:sz w:val="16"/>
                <w:szCs w:val="16"/>
              </w:rPr>
            </w:pPr>
            <w:r w:rsidRPr="00907318">
              <w:rPr>
                <w:sz w:val="16"/>
                <w:szCs w:val="16"/>
              </w:rPr>
              <w:t xml:space="preserve">Percentagem de Período de Disponibilidade </w:t>
            </w:r>
          </w:p>
        </w:tc>
        <w:tc>
          <w:tcPr>
            <w:tcW w:w="2500" w:type="pct"/>
            <w:shd w:val="clear" w:color="auto" w:fill="0070C0"/>
          </w:tcPr>
          <w:p w14:paraId="316D33D9" w14:textId="77777777" w:rsidR="00CA66E5" w:rsidRPr="00907318" w:rsidRDefault="00CA66E5" w:rsidP="00840862">
            <w:pPr>
              <w:spacing w:before="20" w:after="20"/>
              <w:ind w:left="-14" w:right="-101"/>
              <w:jc w:val="center"/>
              <w:cnfStyle w:val="100000000000" w:firstRow="1" w:lastRow="0" w:firstColumn="0" w:lastColumn="0" w:oddVBand="0" w:evenVBand="0" w:oddHBand="0" w:evenHBand="0" w:firstRowFirstColumn="0" w:firstRowLastColumn="0" w:lastRowFirstColumn="0" w:lastRowLastColumn="0"/>
              <w:rPr>
                <w:sz w:val="16"/>
                <w:szCs w:val="16"/>
              </w:rPr>
            </w:pPr>
            <w:r w:rsidRPr="00907318">
              <w:rPr>
                <w:sz w:val="16"/>
                <w:szCs w:val="16"/>
              </w:rPr>
              <w:t>Crédito de Serviço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907318" w:rsidRDefault="00CA66E5" w:rsidP="00840862">
            <w:pPr>
              <w:spacing w:before="20" w:after="20"/>
              <w:ind w:left="-14" w:right="-101"/>
              <w:jc w:val="center"/>
              <w:rPr>
                <w:b w:val="0"/>
                <w:sz w:val="16"/>
                <w:szCs w:val="16"/>
              </w:rPr>
            </w:pPr>
            <w:r w:rsidRPr="00907318">
              <w:rPr>
                <w:b w:val="0"/>
                <w:sz w:val="16"/>
                <w:szCs w:val="16"/>
              </w:rPr>
              <w:t>&lt; 99,9%</w:t>
            </w:r>
          </w:p>
        </w:tc>
        <w:tc>
          <w:tcPr>
            <w:tcW w:w="2500" w:type="pct"/>
          </w:tcPr>
          <w:p w14:paraId="79C5FA06" w14:textId="77777777" w:rsidR="00CA66E5" w:rsidRPr="00907318" w:rsidRDefault="00CA66E5" w:rsidP="00840862">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907318" w:rsidRDefault="00CA66E5" w:rsidP="00840862">
            <w:pPr>
              <w:spacing w:before="20" w:after="20"/>
              <w:ind w:left="-14" w:right="-101"/>
              <w:jc w:val="center"/>
              <w:rPr>
                <w:b w:val="0"/>
                <w:sz w:val="16"/>
                <w:szCs w:val="16"/>
              </w:rPr>
            </w:pPr>
            <w:r w:rsidRPr="00907318">
              <w:rPr>
                <w:b w:val="0"/>
                <w:sz w:val="16"/>
                <w:szCs w:val="16"/>
              </w:rPr>
              <w:t>&lt; 99%</w:t>
            </w:r>
          </w:p>
        </w:tc>
        <w:tc>
          <w:tcPr>
            <w:tcW w:w="2500" w:type="pct"/>
          </w:tcPr>
          <w:p w14:paraId="06F0C832" w14:textId="77777777" w:rsidR="00CA66E5" w:rsidRPr="00907318" w:rsidRDefault="00CA66E5" w:rsidP="00840862">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25%</w:t>
            </w:r>
          </w:p>
        </w:tc>
      </w:tr>
    </w:tbl>
    <w:bookmarkStart w:id="331" w:name="_Toc457821566"/>
    <w:bookmarkStart w:id="332" w:name="_Toc52348975"/>
    <w:bookmarkEnd w:id="329"/>
    <w:p w14:paraId="06B442D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2F2ABD" w14:textId="77777777" w:rsidR="00D066A8" w:rsidRPr="00D066A8" w:rsidRDefault="00D066A8" w:rsidP="00F01ED6">
      <w:pPr>
        <w:pStyle w:val="ProductList-Offering2Heading"/>
        <w:keepNext/>
        <w:tabs>
          <w:tab w:val="clear" w:pos="360"/>
          <w:tab w:val="clear" w:pos="720"/>
          <w:tab w:val="clear" w:pos="1080"/>
        </w:tabs>
        <w:outlineLvl w:val="2"/>
      </w:pPr>
      <w:bookmarkStart w:id="333" w:name="_Toc214456846"/>
      <w:r>
        <w:t>Microsoft Sentinel</w:t>
      </w:r>
      <w:bookmarkEnd w:id="333"/>
    </w:p>
    <w:p w14:paraId="4587874D" w14:textId="77777777" w:rsidR="00D066A8" w:rsidRPr="00CB7596" w:rsidRDefault="00D066A8" w:rsidP="00F01ED6">
      <w:pPr>
        <w:keepNext/>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Definições Adicionais</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w:t>
      </w:r>
    </w:p>
    <w:p w14:paraId="7B5E6B83" w14:textId="34968C7E"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Máximo de Minutos Disponíveis</w:t>
      </w:r>
      <w:r w:rsidRPr="00CB7596">
        <w:rPr>
          <w:sz w:val="18"/>
          <w:szCs w:val="18"/>
        </w:rPr>
        <w:t>”</w:t>
      </w:r>
      <w:r w:rsidR="00D066A8" w:rsidRPr="00CB7596">
        <w:rPr>
          <w:rFonts w:ascii="Calibri" w:eastAsia="Times New Roman" w:hAnsi="Calibri" w:cs="Calibri"/>
          <w:color w:val="000000"/>
          <w:sz w:val="18"/>
          <w:szCs w:val="18"/>
          <w:bdr w:val="none" w:sz="0" w:space="0" w:color="auto" w:frame="1"/>
        </w:rPr>
        <w:t> é o número total de minutos durante os quais um determinado Microsoft Sentinel foi implementado pelo Cliente numa subscrição do Microsoft Azure durante um Período Aplicável.</w:t>
      </w:r>
    </w:p>
    <w:p w14:paraId="704F78EC" w14:textId="57D0CDD6"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Período de Indisponibilidade</w:t>
      </w:r>
      <w:r w:rsidRPr="00CB7596">
        <w:rPr>
          <w:sz w:val="18"/>
          <w:szCs w:val="18"/>
        </w:rPr>
        <w:t>”</w:t>
      </w:r>
      <w:r w:rsidR="00D066A8" w:rsidRPr="00CB7596">
        <w:rPr>
          <w:rFonts w:ascii="Calibri" w:eastAsia="Times New Roman" w:hAnsi="Calibri" w:cs="Calibri"/>
          <w:color w:val="000000"/>
          <w:sz w:val="18"/>
          <w:szCs w:val="18"/>
          <w:bdr w:val="none" w:sz="0" w:space="0" w:color="auto" w:frame="1"/>
        </w:rPr>
        <w:t> é número total de minutos dentro do Máximo de Minutos Disponíveis durante os quais os dados do Microsoft Sentinel estão indisponíveis. Um minuto será considerado indisponível para um determinado Azure Sentinel durante o que nenhuma operação de</w:t>
      </w:r>
      <w:r w:rsidR="003E7D23">
        <w:rPr>
          <w:rFonts w:ascii="Calibri" w:eastAsia="Times New Roman" w:hAnsi="Calibri" w:cs="Calibri"/>
          <w:color w:val="000000"/>
          <w:sz w:val="18"/>
          <w:szCs w:val="18"/>
          <w:bdr w:val="none" w:sz="0" w:space="0" w:color="auto" w:frame="1"/>
        </w:rPr>
        <w:t> </w:t>
      </w:r>
      <w:r w:rsidR="00D066A8" w:rsidRPr="00CB7596">
        <w:rPr>
          <w:rFonts w:ascii="Calibri" w:eastAsia="Times New Roman" w:hAnsi="Calibri" w:cs="Calibri"/>
          <w:color w:val="000000"/>
          <w:sz w:val="18"/>
          <w:szCs w:val="18"/>
          <w:bdr w:val="none" w:sz="0" w:space="0" w:color="auto" w:frame="1"/>
        </w:rPr>
        <w:t>HTTP resultou um Código de Êxito.</w:t>
      </w:r>
    </w:p>
    <w:p w14:paraId="33DEEB26" w14:textId="729F8402"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 xml:space="preserve">A </w:t>
      </w:r>
      <w:r w:rsidR="00380305" w:rsidRPr="00CB7596">
        <w:rPr>
          <w:sz w:val="18"/>
        </w:rPr>
        <w:t>“</w:t>
      </w:r>
      <w:r w:rsidRPr="00CB7596">
        <w:rPr>
          <w:rFonts w:ascii="Calibri" w:eastAsia="Times New Roman" w:hAnsi="Calibri" w:cs="Calibri"/>
          <w:b/>
          <w:bCs/>
          <w:color w:val="00188F"/>
          <w:sz w:val="18"/>
          <w:szCs w:val="18"/>
          <w:bdr w:val="none" w:sz="0" w:space="0" w:color="auto" w:frame="1"/>
        </w:rPr>
        <w:t>Percentagem de Disponibilidade para Consulta</w:t>
      </w:r>
      <w:r w:rsidR="00380305" w:rsidRPr="00CB7596">
        <w:rPr>
          <w:sz w:val="18"/>
        </w:rPr>
        <w:t>”</w:t>
      </w:r>
      <w:r w:rsidRPr="00CB7596">
        <w:rPr>
          <w:rFonts w:ascii="Calibri" w:eastAsia="Times New Roman" w:hAnsi="Calibri" w:cs="Calibri"/>
          <w:color w:val="000000"/>
          <w:sz w:val="18"/>
          <w:szCs w:val="18"/>
          <w:bdr w:val="none" w:sz="0" w:space="0" w:color="auto" w:frame="1"/>
        </w:rPr>
        <w:t> de um determinado Microsoft Sentinel é calculada como o Máximo de Minutos Disponíveis menos o Período de Indisponibilidade, dividido pelo Máximo de Minutos Disponíveis a multiplicar por 100.</w:t>
      </w:r>
    </w:p>
    <w:p w14:paraId="11D4D5FC" w14:textId="6E3E332A"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Percentagem de Disponibilidade para Consulta</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xml:space="preserve"> A Percentagem de Disponibilidade para Consulta é calculada utilizando a seguinte fórmula: </w:t>
      </w:r>
    </w:p>
    <w:p w14:paraId="2D21D2B4" w14:textId="470EA037" w:rsidR="00D066A8" w:rsidRPr="00D066A8" w:rsidRDefault="00D066A8" w:rsidP="00F01ED6">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F01ED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473DD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Disponibilidade para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907318">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90731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bookmarkStart w:id="334" w:name="ServiceSpecificTerms_Azure_MobileServ"/>
    <w:bookmarkEnd w:id="334"/>
    <w:p w14:paraId="6F2F42D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4451F0F" w14:textId="5CB1FCFB" w:rsidR="00CA66E5" w:rsidRPr="00EF7CF9" w:rsidRDefault="00CA66E5" w:rsidP="00F01ED6">
      <w:pPr>
        <w:pStyle w:val="ProductList-Offering2Heading"/>
        <w:tabs>
          <w:tab w:val="clear" w:pos="360"/>
          <w:tab w:val="clear" w:pos="720"/>
          <w:tab w:val="clear" w:pos="1080"/>
        </w:tabs>
        <w:outlineLvl w:val="2"/>
      </w:pPr>
      <w:bookmarkStart w:id="335" w:name="_Toc214456847"/>
      <w:r>
        <w:t>Serviços Móveis</w:t>
      </w:r>
      <w:bookmarkEnd w:id="331"/>
      <w:bookmarkEnd w:id="332"/>
      <w:bookmarkEnd w:id="335"/>
    </w:p>
    <w:p w14:paraId="4AC57098" w14:textId="77777777" w:rsidR="00CA66E5" w:rsidRPr="00EF7CF9" w:rsidRDefault="00CA66E5" w:rsidP="00F01ED6">
      <w:pPr>
        <w:pStyle w:val="ProductList-Body"/>
      </w:pPr>
      <w:r>
        <w:rPr>
          <w:b/>
          <w:color w:val="00188F"/>
        </w:rPr>
        <w:t>Definições Adicionais</w:t>
      </w:r>
      <w:r w:rsidRPr="00473DD3">
        <w:rPr>
          <w:b/>
          <w:color w:val="00188F"/>
        </w:rPr>
        <w:t>:</w:t>
      </w:r>
    </w:p>
    <w:p w14:paraId="137D5183" w14:textId="04190CEC" w:rsidR="00CA66E5" w:rsidRPr="00EF7CF9" w:rsidRDefault="00380305" w:rsidP="00F01ED6">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Transação que resultam num Código de Erro ou</w:t>
      </w:r>
      <w:r w:rsidR="00175C81">
        <w:rPr>
          <w:rFonts w:eastAsia="Times New Roman"/>
        </w:rPr>
        <w:t> </w:t>
      </w:r>
      <w:r w:rsidR="00CA66E5">
        <w:rPr>
          <w:rFonts w:eastAsia="Times New Roman"/>
        </w:rPr>
        <w:t>que não devolvem um Código de Êxito.</w:t>
      </w:r>
    </w:p>
    <w:p w14:paraId="49ACBD58" w14:textId="073DB131" w:rsidR="00CA66E5" w:rsidRPr="00EF7CF9" w:rsidRDefault="00CA66E5" w:rsidP="00F01ED6">
      <w:pPr>
        <w:pStyle w:val="ProductList-Body"/>
      </w:pPr>
      <w:r>
        <w:t xml:space="preserve">O </w:t>
      </w:r>
      <w:r w:rsidR="00380305">
        <w:t>“</w:t>
      </w:r>
      <w:r>
        <w:rPr>
          <w:b/>
          <w:color w:val="00188F"/>
        </w:rPr>
        <w:t>Total de Tentativas de Transação</w:t>
      </w:r>
      <w:r w:rsidR="00380305">
        <w:t>”</w:t>
      </w:r>
      <w:r>
        <w:t xml:space="preserve"> é </w:t>
      </w:r>
      <w:r>
        <w:rPr>
          <w:rFonts w:eastAsia="Times New Roman"/>
        </w:rPr>
        <w:t>o total de chamadas de API acumuladas efetuadas aos Serviços Móveis do Azure durante um Período Aplicável para uma determinada subscrição do Microsoft Azure para a qual os Serviços Móveis do Azure estão em execução</w:t>
      </w:r>
      <w:r>
        <w:t>.</w:t>
      </w:r>
    </w:p>
    <w:p w14:paraId="361A6A1C" w14:textId="3C0B06C6" w:rsidR="00CA66E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97EAC56" w14:textId="1E3A930D" w:rsidR="00CA66E5" w:rsidRPr="00EF7CF9" w:rsidRDefault="00000000" w:rsidP="0027170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27F7E4" w14:textId="77777777" w:rsidR="00CA66E5" w:rsidRPr="00EF7CF9" w:rsidRDefault="00CA66E5" w:rsidP="00F01ED6">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277097">
        <w:tc>
          <w:tcPr>
            <w:tcW w:w="5400" w:type="dxa"/>
          </w:tcPr>
          <w:p w14:paraId="66B91960" w14:textId="77777777" w:rsidR="00CA66E5" w:rsidRPr="00EF7CF9" w:rsidRDefault="00CA66E5" w:rsidP="00F01ED6">
            <w:pPr>
              <w:pStyle w:val="ProductList-OfferingBody"/>
              <w:jc w:val="center"/>
            </w:pPr>
            <w:r>
              <w:t>&lt; 99,9%</w:t>
            </w:r>
          </w:p>
        </w:tc>
        <w:tc>
          <w:tcPr>
            <w:tcW w:w="5400" w:type="dxa"/>
          </w:tcPr>
          <w:p w14:paraId="660F6EB6" w14:textId="77777777" w:rsidR="00CA66E5" w:rsidRPr="00EF7CF9" w:rsidRDefault="00CA66E5" w:rsidP="00F01ED6">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F01ED6">
            <w:pPr>
              <w:pStyle w:val="ProductList-OfferingBody"/>
              <w:jc w:val="center"/>
            </w:pPr>
            <w:r>
              <w:t>&lt; 99%</w:t>
            </w:r>
          </w:p>
        </w:tc>
        <w:tc>
          <w:tcPr>
            <w:tcW w:w="5400" w:type="dxa"/>
          </w:tcPr>
          <w:p w14:paraId="74F40727" w14:textId="77777777" w:rsidR="00CA66E5" w:rsidRPr="00EF7CF9" w:rsidRDefault="00CA66E5" w:rsidP="00F01ED6">
            <w:pPr>
              <w:pStyle w:val="ProductList-OfferingBody"/>
              <w:jc w:val="center"/>
            </w:pPr>
            <w:r>
              <w:t>25%</w:t>
            </w:r>
          </w:p>
        </w:tc>
      </w:tr>
    </w:tbl>
    <w:p w14:paraId="441C7B1D" w14:textId="45E738D4" w:rsidR="00CA66E5" w:rsidRPr="00EF7CF9" w:rsidRDefault="00CA66E5" w:rsidP="00F16390">
      <w:pPr>
        <w:pStyle w:val="ProductList-Body"/>
        <w:keepNext/>
        <w:keepLines/>
        <w:spacing w:before="120"/>
      </w:pPr>
      <w:r>
        <w:rPr>
          <w:b/>
          <w:color w:val="00188F"/>
        </w:rPr>
        <w:t>Exceções de Nível de Serviço</w:t>
      </w:r>
      <w:r w:rsidRPr="00473DD3">
        <w:rPr>
          <w:b/>
          <w:color w:val="00188F"/>
        </w:rPr>
        <w:t>:</w:t>
      </w:r>
      <w:r>
        <w:t xml:space="preserve"> Os Níveis de Serviço e Créditos de Serviço são aplicáveis à utilização que o Cliente faz das camadas Standard e</w:t>
      </w:r>
      <w:r w:rsidR="005E5DC2">
        <w:t> </w:t>
      </w:r>
      <w:r>
        <w:t>Premium dos Serviços Móveis.</w:t>
      </w:r>
    </w:p>
    <w:p w14:paraId="13B9333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32F17D0F" w14:textId="08734EED" w:rsidR="004005AF" w:rsidRPr="00EF7CF9" w:rsidRDefault="004005AF" w:rsidP="00F01ED6">
      <w:pPr>
        <w:pStyle w:val="ProductList-Offering2Heading"/>
        <w:keepNext/>
        <w:tabs>
          <w:tab w:val="clear" w:pos="360"/>
          <w:tab w:val="clear" w:pos="720"/>
          <w:tab w:val="clear" w:pos="1080"/>
        </w:tabs>
        <w:outlineLvl w:val="2"/>
      </w:pPr>
      <w:bookmarkStart w:id="336" w:name="_Toc214456848"/>
      <w:r>
        <w:t>Azure Monitor</w:t>
      </w:r>
      <w:bookmarkEnd w:id="298"/>
      <w:bookmarkEnd w:id="324"/>
      <w:bookmarkEnd w:id="336"/>
    </w:p>
    <w:p w14:paraId="755788BB" w14:textId="092E983D" w:rsidR="004005AF" w:rsidRPr="004C3ABB" w:rsidRDefault="00EE6E3C" w:rsidP="00F01ED6">
      <w:pPr>
        <w:pStyle w:val="ProductList-Body"/>
        <w:rPr>
          <w:b/>
          <w:color w:val="00188F"/>
        </w:rPr>
      </w:pPr>
      <w:r>
        <w:rPr>
          <w:b/>
          <w:color w:val="00188F"/>
        </w:rPr>
        <w:t>Cálculo do Período de Disponibilidade e Níveis de Serviço para Alertas do Azure Monitor</w:t>
      </w:r>
    </w:p>
    <w:p w14:paraId="3A25576F" w14:textId="77777777" w:rsidR="004005AF" w:rsidRPr="00ED4527" w:rsidRDefault="004005AF" w:rsidP="00F01ED6">
      <w:pPr>
        <w:pStyle w:val="ProductList-Body"/>
        <w:rPr>
          <w:b/>
          <w:color w:val="00188F"/>
        </w:rPr>
      </w:pPr>
      <w:r>
        <w:rPr>
          <w:b/>
          <w:color w:val="00188F"/>
        </w:rPr>
        <w:t>Definições Adicionais:</w:t>
      </w:r>
    </w:p>
    <w:p w14:paraId="45980D93" w14:textId="5F13A27B" w:rsidR="004005AF" w:rsidRPr="00ED4527" w:rsidRDefault="00380305" w:rsidP="00F01ED6">
      <w:pPr>
        <w:pStyle w:val="ProductList-Body"/>
        <w:rPr>
          <w:bCs/>
          <w:color w:val="000000" w:themeColor="text1"/>
        </w:rPr>
      </w:pPr>
      <w:r>
        <w:rPr>
          <w:bCs/>
          <w:color w:val="000000" w:themeColor="text1"/>
        </w:rPr>
        <w:t>“</w:t>
      </w:r>
      <w:r w:rsidR="004005AF">
        <w:rPr>
          <w:b/>
          <w:color w:val="00188F"/>
        </w:rPr>
        <w:t>Regra de Alerta</w:t>
      </w:r>
      <w:r>
        <w:rPr>
          <w:bCs/>
          <w:color w:val="000000" w:themeColor="text1"/>
        </w:rPr>
        <w:t>”</w:t>
      </w:r>
      <w:r w:rsidR="004005AF">
        <w:rPr>
          <w:bCs/>
          <w:color w:val="000000" w:themeColor="text1"/>
        </w:rPr>
        <w:t xml:space="preserve"> designa uma coleção de critérios de sinais utilizada para gerar alertas através da monitorização dos dados dos eventos já disponíveis para o Serviço de Alertas para análise.</w:t>
      </w:r>
    </w:p>
    <w:p w14:paraId="754D887B" w14:textId="7D31EE13" w:rsidR="004005AF" w:rsidRPr="00ED4527" w:rsidRDefault="00380305" w:rsidP="00F01ED6">
      <w:pPr>
        <w:pStyle w:val="ProductList-Body"/>
        <w:rPr>
          <w:bCs/>
          <w:color w:val="000000" w:themeColor="text1"/>
        </w:rPr>
      </w:pPr>
      <w:r>
        <w:rPr>
          <w:bCs/>
          <w:color w:val="000000" w:themeColor="text1"/>
        </w:rPr>
        <w:t>“</w:t>
      </w:r>
      <w:r w:rsidR="004005AF">
        <w:rPr>
          <w:b/>
          <w:color w:val="00188F"/>
        </w:rPr>
        <w:t>Máximo de Minutos Disponíveis</w:t>
      </w:r>
      <w:r>
        <w:rPr>
          <w:bCs/>
          <w:color w:val="000000" w:themeColor="text1"/>
        </w:rPr>
        <w:t>”</w:t>
      </w:r>
      <w:r w:rsidR="004005AF">
        <w:rPr>
          <w:bCs/>
          <w:color w:val="000000" w:themeColor="text1"/>
        </w:rPr>
        <w:t xml:space="preserve"> designa o número total de minutos durante os quais as Regras de Alertas são implementadas pelo Cliente numa determinada subscrição do Microsoft Azure durante um Período Aplicável.</w:t>
      </w:r>
    </w:p>
    <w:p w14:paraId="3A79CCD9" w14:textId="6724E001" w:rsidR="004005AF" w:rsidRPr="00ED4527" w:rsidRDefault="00380305" w:rsidP="00F01ED6">
      <w:pPr>
        <w:pStyle w:val="ProductList-Body"/>
        <w:rPr>
          <w:bCs/>
          <w:color w:val="000000" w:themeColor="text1"/>
        </w:rPr>
      </w:pPr>
      <w:r>
        <w:rPr>
          <w:bCs/>
          <w:color w:val="000000" w:themeColor="text1"/>
        </w:rPr>
        <w:t>“</w:t>
      </w:r>
      <w:r w:rsidR="004005AF">
        <w:rPr>
          <w:b/>
          <w:color w:val="00188F"/>
        </w:rPr>
        <w:t>Período de Indisponibilidade</w:t>
      </w:r>
      <w:r>
        <w:rPr>
          <w:bCs/>
          <w:color w:val="000000" w:themeColor="text1"/>
        </w:rPr>
        <w:t>”</w:t>
      </w:r>
      <w:r w:rsidR="004005AF">
        <w:rPr>
          <w:bCs/>
          <w:color w:val="000000" w:themeColor="text1"/>
        </w:rPr>
        <w:t xml:space="preserve"> designa o número total de minutos durante o Máximo de Minutos Disponíveis durante os quais a Regra de Alerta está indisponível. Um minuto é considerado indisponível para uma determinada Regra de Alertas se todas as tentativas contínuas para analisar </w:t>
      </w:r>
      <w:r w:rsidR="004005AF">
        <w:rPr>
          <w:bCs/>
          <w:color w:val="000000" w:themeColor="text1"/>
        </w:rPr>
        <w:lastRenderedPageBreak/>
        <w:t>sinais de telemetria para recursos definidos na Regra de Alertas nesse minuto devolverem um Código de Erro ou não resultarem num Código de Êxito num prazo de cinco minutos a partir da hora inicial da Regra de Alertas agendada.</w:t>
      </w:r>
    </w:p>
    <w:p w14:paraId="6DB4658A" w14:textId="399FBD01" w:rsidR="004005AF" w:rsidRDefault="004005AF" w:rsidP="00F01ED6">
      <w:pPr>
        <w:pStyle w:val="ProductList-Body"/>
        <w:rPr>
          <w:bCs/>
          <w:color w:val="000000" w:themeColor="text1"/>
        </w:rPr>
      </w:pPr>
      <w:r>
        <w:t xml:space="preserve">A </w:t>
      </w:r>
      <w:r w:rsidR="00380305">
        <w:rPr>
          <w:bCs/>
          <w:color w:val="000000" w:themeColor="text1"/>
        </w:rPr>
        <w:t>“</w:t>
      </w:r>
      <w:r>
        <w:rPr>
          <w:b/>
          <w:color w:val="00188F"/>
        </w:rPr>
        <w:t>Percentagem de Período de Disponibilidade</w:t>
      </w:r>
      <w:r w:rsidR="00380305">
        <w:rPr>
          <w:bCs/>
          <w:color w:val="000000" w:themeColor="text1"/>
        </w:rPr>
        <w:t>”</w:t>
      </w:r>
      <w:r>
        <w:rPr>
          <w:bCs/>
          <w:color w:val="000000" w:themeColor="text1"/>
        </w:rPr>
        <w:t xml:space="preserve"> é calculada como o Máximo de Minutos Disponíveis menos o Período de Indisponibilidade a</w:t>
      </w:r>
      <w:r w:rsidR="00B81749">
        <w:rPr>
          <w:bCs/>
          <w:color w:val="000000" w:themeColor="text1"/>
        </w:rPr>
        <w:t> </w:t>
      </w:r>
      <w:r>
        <w:rPr>
          <w:bCs/>
          <w:color w:val="000000" w:themeColor="text1"/>
        </w:rPr>
        <w:t>dividir pelo Máximo de Minutos Disponíveis multiplicado por 100.</w:t>
      </w:r>
    </w:p>
    <w:p w14:paraId="3CA84EA0" w14:textId="0B513C5E" w:rsidR="004005AF" w:rsidRPr="00ED4527" w:rsidRDefault="00AC48A7" w:rsidP="00F01ED6">
      <w:pPr>
        <w:pStyle w:val="ProductList-Body"/>
        <w:rPr>
          <w:bCs/>
          <w:color w:val="000000" w:themeColor="text1"/>
        </w:rPr>
      </w:pPr>
      <w:r>
        <w:rPr>
          <w:bCs/>
          <w:color w:val="000000" w:themeColor="text1"/>
        </w:rPr>
        <w:t>A Percentagem de Período de Disponibilidade é representada pela seguinte fórmula:</w:t>
      </w:r>
    </w:p>
    <w:p w14:paraId="043DA7C9" w14:textId="3E9DCA3F" w:rsidR="004005AF" w:rsidRPr="00EF7CF9" w:rsidRDefault="00000000" w:rsidP="002717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C5A6B10" w14:textId="77777777" w:rsidR="004005AF" w:rsidRDefault="004005AF" w:rsidP="00F01ED6">
      <w:pPr>
        <w:pStyle w:val="ProductList-Body"/>
        <w:keepNext/>
      </w:pPr>
      <w:r>
        <w:rPr>
          <w:b/>
          <w:color w:val="00188F"/>
        </w:rPr>
        <w:t>Os seguintes Níveis de Serviço e Créditos de Serviço são aplicáveis à utilização de Alertas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C9F177C"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277097">
        <w:trPr>
          <w:trHeight w:val="242"/>
        </w:trPr>
        <w:tc>
          <w:tcPr>
            <w:tcW w:w="5400" w:type="dxa"/>
          </w:tcPr>
          <w:p w14:paraId="5783E79B" w14:textId="77777777" w:rsidR="004005AF" w:rsidRPr="0076238C" w:rsidRDefault="004005AF" w:rsidP="00F01ED6">
            <w:pPr>
              <w:pStyle w:val="ProductList-OfferingBody"/>
              <w:jc w:val="center"/>
            </w:pPr>
            <w:r>
              <w:t>&lt; 99,9%</w:t>
            </w:r>
          </w:p>
        </w:tc>
        <w:tc>
          <w:tcPr>
            <w:tcW w:w="5400" w:type="dxa"/>
          </w:tcPr>
          <w:p w14:paraId="7A591C97" w14:textId="77777777" w:rsidR="004005AF" w:rsidRPr="0076238C" w:rsidRDefault="004005AF" w:rsidP="00F01ED6">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F01ED6">
            <w:pPr>
              <w:pStyle w:val="ProductList-OfferingBody"/>
              <w:jc w:val="center"/>
            </w:pPr>
            <w:r>
              <w:t>&lt; 99%</w:t>
            </w:r>
          </w:p>
        </w:tc>
        <w:tc>
          <w:tcPr>
            <w:tcW w:w="5400" w:type="dxa"/>
          </w:tcPr>
          <w:p w14:paraId="65BBE6E6" w14:textId="77777777" w:rsidR="004005AF" w:rsidRPr="0076238C" w:rsidRDefault="004005AF" w:rsidP="00F01ED6">
            <w:pPr>
              <w:pStyle w:val="ProductList-OfferingBody"/>
              <w:jc w:val="center"/>
            </w:pPr>
            <w:r>
              <w:t>25%</w:t>
            </w:r>
          </w:p>
        </w:tc>
      </w:tr>
    </w:tbl>
    <w:p w14:paraId="0D0EEF5C" w14:textId="0B79C771" w:rsidR="004005AF" w:rsidRPr="00CA08CF" w:rsidRDefault="00EE6E3C" w:rsidP="00907318">
      <w:pPr>
        <w:pStyle w:val="ProductList-Body"/>
        <w:spacing w:before="120"/>
        <w:rPr>
          <w:b/>
          <w:color w:val="00188F"/>
        </w:rPr>
      </w:pPr>
      <w:r>
        <w:rPr>
          <w:b/>
          <w:color w:val="00188F"/>
        </w:rPr>
        <w:t>Cálculo do Período de Disponibilidade e Níveis de Serviço para a Distribuição de Notificações do Azure Monitor</w:t>
      </w:r>
    </w:p>
    <w:p w14:paraId="1101548C" w14:textId="77777777" w:rsidR="004005AF" w:rsidRPr="00EF7CF9" w:rsidRDefault="004005AF" w:rsidP="00F01ED6">
      <w:pPr>
        <w:pStyle w:val="ProductList-Body"/>
      </w:pPr>
      <w:r>
        <w:rPr>
          <w:b/>
          <w:color w:val="00188F"/>
        </w:rPr>
        <w:t>Definições Adicionais</w:t>
      </w:r>
      <w:r w:rsidRPr="00473DD3">
        <w:rPr>
          <w:b/>
          <w:color w:val="00188F"/>
        </w:rPr>
        <w:t>:</w:t>
      </w:r>
    </w:p>
    <w:p w14:paraId="7B153434" w14:textId="6C766EE7" w:rsidR="004005AF" w:rsidRPr="00EF7CF9" w:rsidRDefault="00380305" w:rsidP="00F01ED6">
      <w:pPr>
        <w:pStyle w:val="ProductList-Body"/>
      </w:pPr>
      <w:r>
        <w:t>“</w:t>
      </w:r>
      <w:r w:rsidR="004005AF">
        <w:rPr>
          <w:b/>
          <w:color w:val="00188F"/>
        </w:rPr>
        <w:t>Grupo de Ação</w:t>
      </w:r>
      <w:r>
        <w:t>”</w:t>
      </w:r>
      <w:r w:rsidR="004005AF">
        <w:t xml:space="preserve"> é uma coleção de ações que define os métodos de distribuição de notificações preferenciais.</w:t>
      </w:r>
    </w:p>
    <w:p w14:paraId="7780BBAE" w14:textId="1D83AF0B" w:rsidR="004005AF" w:rsidRPr="00EF7CF9"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que os Grupos de Ação são implementados pelo</w:t>
      </w:r>
      <w:r w:rsidR="00FE06B4">
        <w:t> </w:t>
      </w:r>
      <w:r w:rsidR="004005AF">
        <w:t>Cliente numa determinada subscrição do Microsoft Azure durante um Período Aplicável.</w:t>
      </w:r>
    </w:p>
    <w:p w14:paraId="20ACE7BE" w14:textId="1E28BE3A" w:rsidR="004005AF" w:rsidRPr="00EF7CF9" w:rsidRDefault="004005AF" w:rsidP="00F01ED6">
      <w:pPr>
        <w:pStyle w:val="ProductList-Body"/>
      </w:pPr>
      <w:r>
        <w:rPr>
          <w:b/>
          <w:color w:val="00188F"/>
        </w:rPr>
        <w:t>Período de Indisponibilidade</w:t>
      </w:r>
      <w:r w:rsidRPr="00473DD3">
        <w:rPr>
          <w:b/>
          <w:color w:val="00188F"/>
        </w:rPr>
        <w:t>:</w:t>
      </w:r>
      <w:r>
        <w:t xml:space="preserve"> é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24431C4C" w14:textId="21298850" w:rsidR="004005AF" w:rsidRPr="006F3CBD" w:rsidRDefault="00AC48A7" w:rsidP="00F01ED6">
      <w:pPr>
        <w:spacing w:after="0" w:line="240" w:lineRule="auto"/>
        <w:rPr>
          <w:sz w:val="18"/>
          <w:szCs w:val="18"/>
        </w:rPr>
      </w:pPr>
      <w:r>
        <w:rPr>
          <w:b/>
          <w:color w:val="00188F"/>
          <w:sz w:val="18"/>
        </w:rPr>
        <w:t>Percentagem de Período de Disponibilidade</w:t>
      </w:r>
      <w:r w:rsidRPr="00473DD3">
        <w:rPr>
          <w:b/>
          <w:color w:val="00188F"/>
          <w:sz w:val="18"/>
        </w:rPr>
        <w:t>:</w:t>
      </w:r>
      <w:r>
        <w:rPr>
          <w:b/>
          <w:color w:val="00188F"/>
          <w:sz w:val="18"/>
        </w:rPr>
        <w:t xml:space="preserve"> </w:t>
      </w:r>
      <w:r>
        <w:rPr>
          <w:sz w:val="18"/>
          <w:szCs w:val="18"/>
        </w:rPr>
        <w:t xml:space="preserve">é calculada como o Máximo de Minutos Disponíveis menos o Período de Indisponibilidade a dividir pelo Máximo de Minutos Disponíveis num Período Aplicável para uma determinada subscrição do Microsoft Azure. </w:t>
      </w:r>
    </w:p>
    <w:p w14:paraId="3DA152E5" w14:textId="515F2367" w:rsidR="004005AF" w:rsidRPr="006F3CBD" w:rsidRDefault="00AC48A7" w:rsidP="00F01ED6">
      <w:pPr>
        <w:spacing w:after="0" w:line="240" w:lineRule="auto"/>
        <w:rPr>
          <w:sz w:val="18"/>
          <w:szCs w:val="18"/>
        </w:rPr>
      </w:pPr>
      <w:r>
        <w:rPr>
          <w:sz w:val="18"/>
          <w:szCs w:val="18"/>
        </w:rPr>
        <w:t>A Percentagem de Período de Disponibilidade é representada pela seguinte fórmula:</w:t>
      </w:r>
    </w:p>
    <w:p w14:paraId="276CBE14" w14:textId="26E0F776" w:rsidR="004005AF" w:rsidRPr="00EF7CF9" w:rsidRDefault="00000000" w:rsidP="0027170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1C4D5D1" w14:textId="77777777" w:rsidR="004005AF" w:rsidRDefault="004005AF" w:rsidP="00F01ED6">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285DA2"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277097">
        <w:trPr>
          <w:trHeight w:val="242"/>
        </w:trPr>
        <w:tc>
          <w:tcPr>
            <w:tcW w:w="5400" w:type="dxa"/>
          </w:tcPr>
          <w:p w14:paraId="1AC9FEFD" w14:textId="77777777" w:rsidR="004005AF" w:rsidRPr="0076238C" w:rsidRDefault="004005AF" w:rsidP="00F01ED6">
            <w:pPr>
              <w:pStyle w:val="ProductList-OfferingBody"/>
              <w:jc w:val="center"/>
            </w:pPr>
            <w:r>
              <w:t>&lt; 99,9%</w:t>
            </w:r>
          </w:p>
        </w:tc>
        <w:tc>
          <w:tcPr>
            <w:tcW w:w="5400" w:type="dxa"/>
          </w:tcPr>
          <w:p w14:paraId="5247EC9A" w14:textId="77777777" w:rsidR="004005AF" w:rsidRPr="0076238C" w:rsidRDefault="004005AF" w:rsidP="00F01ED6">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F01ED6">
            <w:pPr>
              <w:pStyle w:val="ProductList-OfferingBody"/>
              <w:jc w:val="center"/>
            </w:pPr>
            <w:r>
              <w:t>&lt; 99%</w:t>
            </w:r>
          </w:p>
        </w:tc>
        <w:tc>
          <w:tcPr>
            <w:tcW w:w="5400" w:type="dxa"/>
          </w:tcPr>
          <w:p w14:paraId="3F7D8D79" w14:textId="77777777" w:rsidR="004005AF" w:rsidRPr="0076238C" w:rsidRDefault="004005AF" w:rsidP="00F01ED6">
            <w:pPr>
              <w:pStyle w:val="ProductList-OfferingBody"/>
              <w:jc w:val="center"/>
            </w:pPr>
            <w:r>
              <w:t>25%</w:t>
            </w:r>
          </w:p>
        </w:tc>
      </w:tr>
    </w:tbl>
    <w:p w14:paraId="46FFFFE9" w14:textId="77777777" w:rsidR="004005AF" w:rsidRDefault="004005AF" w:rsidP="005D1414">
      <w:pPr>
        <w:pStyle w:val="ProductList-Body"/>
        <w:spacing w:before="120"/>
        <w:rPr>
          <w:i/>
          <w:szCs w:val="18"/>
        </w:rPr>
      </w:pPr>
      <w:r>
        <w:rPr>
          <w:i/>
          <w:szCs w:val="18"/>
        </w:rPr>
        <w:t>Consulte também Log Analytics e Application Insights.</w:t>
      </w:r>
    </w:p>
    <w:p w14:paraId="6776721E" w14:textId="77777777" w:rsidR="00BB635C" w:rsidRDefault="00BB635C" w:rsidP="00F01ED6">
      <w:pPr>
        <w:pStyle w:val="ProductList-Body"/>
        <w:rPr>
          <w:i/>
          <w:szCs w:val="18"/>
        </w:rPr>
      </w:pPr>
    </w:p>
    <w:p w14:paraId="2A7A805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Cálculo do Período de Disponibilidade Mensal e Níveis de Serviço para o serviço gerido Azure Monitor para Prometheus</w:t>
      </w:r>
    </w:p>
    <w:p w14:paraId="70F4C79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Definições Adicionais:</w:t>
      </w:r>
    </w:p>
    <w:p w14:paraId="7998EF19" w14:textId="77777777" w:rsidR="00D65305" w:rsidRPr="00D65305" w:rsidRDefault="00D65305" w:rsidP="00D65305">
      <w:pPr>
        <w:spacing w:after="0" w:line="240" w:lineRule="auto"/>
        <w:rPr>
          <w:rFonts w:cstheme="minorHAnsi"/>
        </w:rPr>
      </w:pPr>
      <w:r w:rsidRPr="00D65305">
        <w:rPr>
          <w:rFonts w:cstheme="minorHAnsi"/>
          <w:b/>
          <w:color w:val="00188F"/>
          <w:sz w:val="18"/>
        </w:rPr>
        <w:t>“Máximo de Minutos Disponíveis”</w:t>
      </w:r>
      <w:r w:rsidRPr="00D65305">
        <w:rPr>
          <w:rFonts w:cstheme="minorHAnsi"/>
        </w:rPr>
        <w:t xml:space="preserve"> </w:t>
      </w:r>
      <w:r w:rsidRPr="00D65305">
        <w:rPr>
          <w:rFonts w:cstheme="minorHAnsi"/>
          <w:sz w:val="18"/>
        </w:rPr>
        <w:t>designa o número total de minutos durante os quais uma determinada área de trabalho do Azure Monitor foi implementada pelo Cliente numa determinada subscrição do Microsoft Azure durante um mês de faturação.</w:t>
      </w:r>
    </w:p>
    <w:p w14:paraId="7B1981CC"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Período de Indisponibilidade:</w:t>
      </w:r>
      <w:r w:rsidRPr="00D65305">
        <w:rPr>
          <w:rFonts w:cstheme="minorHAnsi"/>
        </w:rPr>
        <w:t xml:space="preserve"> </w:t>
      </w:r>
      <w:r w:rsidRPr="00D65305">
        <w:rPr>
          <w:rFonts w:cstheme="minorHAnsi"/>
          <w:sz w:val="18"/>
        </w:rPr>
        <w:t>designa o número total de minutos durante o Máximo de Minutos Disponíveis durante os quais os dados numa determinada área de trabalho do Azure Monitor estão indisponíveis. Um minuto é considerado indisponível para uma determinada área de trabalho do Azure Monitor se todas as tentativas contínuas para obter dados de métricas do Prometheus durante um minuto resultarem num Código de Erro ou não devolverem qualquer código HTTP no prazo de 60 segundos.</w:t>
      </w:r>
    </w:p>
    <w:p w14:paraId="1C9568B8"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Percentagem de Disponibilidade para Consulta Mensal:</w:t>
      </w:r>
      <w:r w:rsidRPr="00D65305">
        <w:rPr>
          <w:rFonts w:cstheme="minorHAnsi"/>
        </w:rPr>
        <w:t xml:space="preserve"> </w:t>
      </w:r>
      <w:r w:rsidRPr="00D65305">
        <w:rPr>
          <w:rFonts w:cstheme="minorHAnsi"/>
          <w:sz w:val="18"/>
        </w:rPr>
        <w:t>para uma determinada área de trabalho do Azure Monitor é calculada como o Máximo de Minutos Disponíveis menos o Período de Indisponibilidade, a dividir pelo Máximo de Minutos Disponíveis a multiplicar por 100.</w:t>
      </w:r>
    </w:p>
    <w:p w14:paraId="4ED57C2E" w14:textId="77777777" w:rsidR="00D65305" w:rsidRPr="00D65305" w:rsidRDefault="00D65305" w:rsidP="00D65305">
      <w:pPr>
        <w:spacing w:after="0" w:line="240" w:lineRule="auto"/>
        <w:rPr>
          <w:rFonts w:cstheme="minorHAnsi"/>
          <w:sz w:val="18"/>
        </w:rPr>
      </w:pPr>
      <w:r w:rsidRPr="00D65305">
        <w:rPr>
          <w:rFonts w:cstheme="minorHAnsi"/>
          <w:sz w:val="18"/>
        </w:rPr>
        <w:t>A Percentagem de Disponibilidade para Consulta Mensal é representada pela seguinte fórmula:</w:t>
      </w:r>
    </w:p>
    <w:p w14:paraId="641FA6BD" w14:textId="77777777" w:rsidR="00D65305" w:rsidRDefault="00000000" w:rsidP="00A7593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C99AC" w14:textId="77777777" w:rsidR="00D65305" w:rsidRPr="00D65305" w:rsidRDefault="00D65305" w:rsidP="00D65305">
      <w:pPr>
        <w:pStyle w:val="ProductList-Body"/>
        <w:rPr>
          <w:rFonts w:cstheme="minorHAnsi"/>
        </w:rPr>
      </w:pPr>
      <w:r w:rsidRPr="00D65305">
        <w:rPr>
          <w:rFonts w:cstheme="minorHAnsi"/>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5305" w14:paraId="4BE1F487"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B01C5F"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Percentagem de Período de Disponibilidade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3D4DE3"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Crédito de Serviço</w:t>
            </w:r>
          </w:p>
        </w:tc>
      </w:tr>
      <w:tr w:rsidR="00D65305" w14:paraId="539DF918"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EAAA6"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56058" w14:textId="77777777" w:rsidR="00D65305" w:rsidRPr="00D65305" w:rsidRDefault="00D65305" w:rsidP="00EA2F1A">
            <w:pPr>
              <w:pStyle w:val="ProductList-OfferingBody"/>
              <w:spacing w:line="254" w:lineRule="auto"/>
              <w:jc w:val="center"/>
              <w:rPr>
                <w:rFonts w:cstheme="minorHAnsi"/>
              </w:rPr>
            </w:pPr>
            <w:r w:rsidRPr="00D65305">
              <w:rPr>
                <w:rFonts w:cstheme="minorHAnsi"/>
              </w:rPr>
              <w:t>10%</w:t>
            </w:r>
          </w:p>
        </w:tc>
      </w:tr>
      <w:tr w:rsidR="00D65305" w14:paraId="61596E15"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9E17C"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C5518" w14:textId="77777777" w:rsidR="00D65305" w:rsidRPr="00D65305" w:rsidRDefault="00D65305" w:rsidP="00EA2F1A">
            <w:pPr>
              <w:pStyle w:val="ProductList-OfferingBody"/>
              <w:spacing w:line="254" w:lineRule="auto"/>
              <w:jc w:val="center"/>
              <w:rPr>
                <w:rFonts w:cstheme="minorHAnsi"/>
              </w:rPr>
            </w:pPr>
            <w:r w:rsidRPr="00D65305">
              <w:rPr>
                <w:rFonts w:cstheme="minorHAnsi"/>
              </w:rPr>
              <w:t>25%</w:t>
            </w:r>
          </w:p>
        </w:tc>
      </w:tr>
    </w:tbl>
    <w:bookmarkStart w:id="337" w:name="_Toc526859666"/>
    <w:bookmarkStart w:id="338" w:name="_Toc52348940"/>
    <w:bookmarkStart w:id="339" w:name="_Toc457821541"/>
    <w:bookmarkEnd w:id="147"/>
    <w:bookmarkEnd w:id="148"/>
    <w:p w14:paraId="0A19377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2DD07D7" w14:textId="4B1CB8C8" w:rsidR="005642C9" w:rsidRPr="005642C9" w:rsidRDefault="005642C9" w:rsidP="00F01ED6">
      <w:pPr>
        <w:pStyle w:val="ProductList-Offering2Heading"/>
        <w:keepNext/>
        <w:tabs>
          <w:tab w:val="clear" w:pos="360"/>
          <w:tab w:val="clear" w:pos="720"/>
          <w:tab w:val="clear" w:pos="1080"/>
        </w:tabs>
        <w:outlineLvl w:val="2"/>
      </w:pPr>
      <w:bookmarkStart w:id="340" w:name="_Toc214456849"/>
      <w:r>
        <w:lastRenderedPageBreak/>
        <w:t>Azure NetApp Files</w:t>
      </w:r>
      <w:bookmarkEnd w:id="340"/>
    </w:p>
    <w:p w14:paraId="74827AED" w14:textId="77777777" w:rsidR="005642C9" w:rsidRPr="005642C9" w:rsidRDefault="005642C9" w:rsidP="00F01ED6">
      <w:pPr>
        <w:pStyle w:val="ProductList-Body"/>
        <w:keepNext/>
        <w:rPr>
          <w:b/>
          <w:bCs/>
          <w:color w:val="00188F"/>
        </w:rPr>
      </w:pPr>
      <w:r>
        <w:rPr>
          <w:b/>
          <w:bCs/>
          <w:color w:val="00188F"/>
        </w:rPr>
        <w:t>Definições Adicionais</w:t>
      </w:r>
    </w:p>
    <w:p w14:paraId="4CB2BC4D" w14:textId="06F12C07" w:rsidR="005642C9" w:rsidRDefault="00380305" w:rsidP="00F01ED6">
      <w:pPr>
        <w:pStyle w:val="ProductList-Body"/>
      </w:pPr>
      <w:r>
        <w:t>“</w:t>
      </w:r>
      <w:r w:rsidR="005642C9">
        <w:rPr>
          <w:b/>
          <w:bCs/>
          <w:color w:val="00188F"/>
        </w:rPr>
        <w:t>Volume</w:t>
      </w:r>
      <w:r>
        <w:t>”</w:t>
      </w:r>
      <w:r w:rsidR="005642C9">
        <w:t xml:space="preserve"> é um recurso de armazenamento lógico nos Ficheiros Azure NetApp (Azure NetApp Files) que contém um sistema de ficheiros e</w:t>
      </w:r>
      <w:r w:rsidR="005E5DC2">
        <w:t> </w:t>
      </w:r>
      <w:r w:rsidR="005642C9">
        <w:t>é</w:t>
      </w:r>
      <w:r w:rsidR="005E5DC2">
        <w:t> </w:t>
      </w:r>
      <w:r w:rsidR="005642C9">
        <w:t>utilizado para armazenar dados.</w:t>
      </w:r>
    </w:p>
    <w:p w14:paraId="04EC7871" w14:textId="4F319DA9" w:rsidR="005642C9" w:rsidRDefault="00380305" w:rsidP="00F01ED6">
      <w:pPr>
        <w:pStyle w:val="ProductList-Body"/>
      </w:pPr>
      <w:r>
        <w:t>“</w:t>
      </w:r>
      <w:r w:rsidR="005642C9">
        <w:rPr>
          <w:b/>
          <w:bCs/>
          <w:color w:val="00188F"/>
        </w:rPr>
        <w:t>Conectividade do Volume</w:t>
      </w:r>
      <w:r>
        <w:t>”</w:t>
      </w:r>
      <w:r w:rsidR="005642C9">
        <w:t xml:space="preserve"> designa o tráfego de rede bidirecional entre o Volume e os outros endereços IP que utilizam os protocolos de rede TCP ou UDP, nos quais o Volume está configurado para o tráfego permitido.</w:t>
      </w:r>
    </w:p>
    <w:p w14:paraId="56808FB6" w14:textId="3A1C4DA1" w:rsidR="005642C9" w:rsidRDefault="00380305" w:rsidP="00F01ED6">
      <w:pPr>
        <w:pStyle w:val="ProductList-Body"/>
      </w:pPr>
      <w:r>
        <w:t>“</w:t>
      </w:r>
      <w:r w:rsidR="005642C9">
        <w:rPr>
          <w:b/>
          <w:bCs/>
          <w:color w:val="00188F"/>
        </w:rPr>
        <w:t>Máximo de Minutos Disponíveis</w:t>
      </w:r>
      <w:r>
        <w:t>”</w:t>
      </w:r>
      <w:r w:rsidR="005642C9">
        <w:t xml:space="preserve"> é o número total de minutos durante os quais um Volume foi implementado pelo Cliente numa determinada subscrição do Microsoft Azure durante um Período Aplicável.</w:t>
      </w:r>
    </w:p>
    <w:p w14:paraId="75EFEF7F" w14:textId="1A67D620" w:rsidR="005642C9" w:rsidRDefault="00380305" w:rsidP="00F01ED6">
      <w:pPr>
        <w:pStyle w:val="ProductList-Body"/>
      </w:pPr>
      <w:r>
        <w:t>“</w:t>
      </w:r>
      <w:r w:rsidR="005642C9">
        <w:rPr>
          <w:b/>
          <w:bCs/>
          <w:color w:val="00188F"/>
        </w:rPr>
        <w:t>Período de Indisponibilidade</w:t>
      </w:r>
      <w:r>
        <w:t>”</w:t>
      </w:r>
      <w:r w:rsidR="005642C9">
        <w:t xml:space="preserve"> é o total de minutos acumulados que fazem parte do Máximo de Minutos Disponíveis nos quais não há Conectividade do Volume na região Azure.</w:t>
      </w:r>
    </w:p>
    <w:p w14:paraId="436F399D" w14:textId="7A0442CD" w:rsidR="005642C9" w:rsidRDefault="00380305" w:rsidP="00F01ED6">
      <w:pPr>
        <w:pStyle w:val="ProductList-Body"/>
      </w:pPr>
      <w:r>
        <w:t>“</w:t>
      </w:r>
      <w:r w:rsidR="005642C9">
        <w:rPr>
          <w:b/>
          <w:bCs/>
          <w:color w:val="00188F"/>
        </w:rPr>
        <w:t>Percentagem de Período de Disponibilidade</w:t>
      </w:r>
      <w:r>
        <w:t>”</w:t>
      </w:r>
      <w:r w:rsidR="005642C9">
        <w:t xml:space="preserve"> A Percentagem de Período de Disponibilidade é calculada utilizando a seguinte fórmula:</w:t>
      </w:r>
    </w:p>
    <w:p w14:paraId="1D10D425" w14:textId="7EF617A2" w:rsidR="005642C9" w:rsidRPr="00EF7CF9" w:rsidRDefault="00000000" w:rsidP="004D0C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1036C63" w14:textId="43D36FA6" w:rsidR="005642C9" w:rsidRPr="005642C9" w:rsidRDefault="005642C9"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8C4DD" w14:textId="77777777" w:rsidR="005642C9" w:rsidRPr="00EF7CF9" w:rsidRDefault="005642C9" w:rsidP="00F01ED6">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277097">
        <w:tc>
          <w:tcPr>
            <w:tcW w:w="5400" w:type="dxa"/>
          </w:tcPr>
          <w:p w14:paraId="02FF7B3E" w14:textId="6A0A2252" w:rsidR="005642C9" w:rsidRPr="00EF7CF9" w:rsidRDefault="005642C9" w:rsidP="00F01ED6">
            <w:pPr>
              <w:pStyle w:val="ProductList-OfferingBody"/>
              <w:jc w:val="center"/>
            </w:pPr>
            <w:r>
              <w:t>&lt; 99,99%</w:t>
            </w:r>
          </w:p>
        </w:tc>
        <w:tc>
          <w:tcPr>
            <w:tcW w:w="5400" w:type="dxa"/>
          </w:tcPr>
          <w:p w14:paraId="1E279DA4" w14:textId="77777777" w:rsidR="005642C9" w:rsidRPr="00EF7CF9" w:rsidRDefault="005642C9" w:rsidP="00F01ED6">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F01ED6">
            <w:pPr>
              <w:pStyle w:val="ProductList-OfferingBody"/>
              <w:jc w:val="center"/>
            </w:pPr>
            <w:r>
              <w:t>&lt; 99%</w:t>
            </w:r>
          </w:p>
        </w:tc>
        <w:tc>
          <w:tcPr>
            <w:tcW w:w="5400" w:type="dxa"/>
          </w:tcPr>
          <w:p w14:paraId="6271DB67" w14:textId="77777777" w:rsidR="005642C9" w:rsidRPr="00EF7CF9" w:rsidRDefault="005642C9" w:rsidP="00F01ED6">
            <w:pPr>
              <w:pStyle w:val="ProductList-OfferingBody"/>
              <w:jc w:val="center"/>
            </w:pPr>
            <w:r>
              <w:t>25%</w:t>
            </w:r>
          </w:p>
        </w:tc>
      </w:tr>
    </w:tbl>
    <w:bookmarkStart w:id="341" w:name="_Toc52348976"/>
    <w:bookmarkStart w:id="342" w:name="NetworkWatcher"/>
    <w:bookmarkStart w:id="343" w:name="_Toc457821568"/>
    <w:p w14:paraId="6D32C528"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F611FD" w14:textId="54E874B7" w:rsidR="00430979" w:rsidRPr="00EF7CF9" w:rsidRDefault="00430979" w:rsidP="00F01ED6">
      <w:pPr>
        <w:pStyle w:val="ProductList-Offering2Heading"/>
        <w:keepNext/>
        <w:tabs>
          <w:tab w:val="clear" w:pos="360"/>
          <w:tab w:val="clear" w:pos="720"/>
          <w:tab w:val="clear" w:pos="1080"/>
        </w:tabs>
        <w:outlineLvl w:val="2"/>
      </w:pPr>
      <w:bookmarkStart w:id="344" w:name="_Toc214456850"/>
      <w:r>
        <w:t>Observador de Rede</w:t>
      </w:r>
      <w:bookmarkEnd w:id="341"/>
      <w:bookmarkEnd w:id="344"/>
    </w:p>
    <w:bookmarkEnd w:id="342"/>
    <w:p w14:paraId="661CF817" w14:textId="77777777" w:rsidR="00430979" w:rsidRDefault="00430979" w:rsidP="00F01ED6">
      <w:pPr>
        <w:pStyle w:val="ProductList-Body"/>
        <w:rPr>
          <w:b/>
          <w:color w:val="00188F"/>
        </w:rPr>
      </w:pPr>
      <w:r>
        <w:rPr>
          <w:b/>
          <w:color w:val="00188F"/>
        </w:rPr>
        <w:t>Definições Adicionais</w:t>
      </w:r>
      <w:r w:rsidRPr="00473DD3">
        <w:rPr>
          <w:b/>
          <w:color w:val="00188F"/>
        </w:rPr>
        <w:t>:</w:t>
      </w:r>
    </w:p>
    <w:p w14:paraId="00667AC1" w14:textId="1E963768"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uma coleção de ferramentas de topologia e diagnóstico de rede.</w:t>
      </w:r>
    </w:p>
    <w:p w14:paraId="767FDCE8" w14:textId="39952022"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efetuadas pela Ferramenta de Diagnóstico de Rede, tal como configurado pelo Cliente num Período Aplicável para uma determinada subscrição do Microsoft Azure.</w:t>
      </w:r>
    </w:p>
    <w:p w14:paraId="224AA33A" w14:textId="6C0287E7" w:rsidR="0043097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designa o número total de ações de diagnóstico no Máximo de Verificações de Diagnóstico que devolve um Código de Erro ou não devolve uma resposta no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Ferramenta de Diagnóstico</w:t>
            </w:r>
          </w:p>
        </w:tc>
        <w:tc>
          <w:tcPr>
            <w:tcW w:w="2491" w:type="pct"/>
            <w:shd w:val="clear" w:color="auto" w:fill="0072C6"/>
          </w:tcPr>
          <w:p w14:paraId="42C15AC1"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Tempo Máximo de Processamento</w:t>
            </w:r>
          </w:p>
        </w:tc>
      </w:tr>
      <w:tr w:rsidR="00430979" w:rsidRPr="00B44CF9" w14:paraId="07761AA6" w14:textId="77777777" w:rsidTr="000F31B4">
        <w:trPr>
          <w:trHeight w:val="242"/>
        </w:trPr>
        <w:tc>
          <w:tcPr>
            <w:tcW w:w="2509" w:type="pct"/>
          </w:tcPr>
          <w:p w14:paraId="7DD7868C" w14:textId="77777777" w:rsidR="00430979" w:rsidRPr="00B50E44" w:rsidRDefault="00430979" w:rsidP="00F01ED6">
            <w:pPr>
              <w:pStyle w:val="Heading2"/>
              <w:keepNext w:val="0"/>
              <w:keepLines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Verificação IPFlow</w:t>
            </w:r>
          </w:p>
          <w:p w14:paraId="5051AC35"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NextHop</w:t>
            </w:r>
          </w:p>
          <w:p w14:paraId="68485720"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Captura de Pacotes</w:t>
            </w:r>
          </w:p>
          <w:p w14:paraId="3A4359B7"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Vista do Grupo de Segurança</w:t>
            </w:r>
          </w:p>
          <w:p w14:paraId="44D59B52" w14:textId="77777777" w:rsidR="00430979" w:rsidRPr="00B50E44" w:rsidRDefault="00430979" w:rsidP="00F01ED6">
            <w:pPr>
              <w:pStyle w:val="ProductList-OfferingBody"/>
              <w:rPr>
                <w:rFonts w:eastAsiaTheme="minorEastAsia" w:cstheme="minorHAnsi"/>
                <w:szCs w:val="16"/>
              </w:rPr>
            </w:pPr>
            <w:r w:rsidRPr="00B50E44">
              <w:rPr>
                <w:rFonts w:eastAsiaTheme="minorEastAsia" w:cstheme="minorHAnsi"/>
                <w:szCs w:val="16"/>
              </w:rPr>
              <w:t>Topologia</w:t>
            </w:r>
          </w:p>
          <w:p w14:paraId="51B46A76" w14:textId="77777777" w:rsidR="00430979" w:rsidRPr="00B50E44" w:rsidRDefault="00430979" w:rsidP="00F01ED6">
            <w:pPr>
              <w:pStyle w:val="ProductList-Body"/>
              <w:rPr>
                <w:sz w:val="16"/>
                <w:szCs w:val="16"/>
              </w:rPr>
            </w:pPr>
            <w:r w:rsidRPr="00B50E44">
              <w:rPr>
                <w:sz w:val="16"/>
                <w:szCs w:val="16"/>
              </w:rPr>
              <w:t>Monitor de Ligações</w:t>
            </w:r>
          </w:p>
          <w:p w14:paraId="11650A43" w14:textId="77777777" w:rsidR="00430979" w:rsidRPr="00B50E44" w:rsidRDefault="00430979" w:rsidP="00F01ED6">
            <w:pPr>
              <w:pStyle w:val="ProductList-Body"/>
              <w:rPr>
                <w:sz w:val="16"/>
                <w:szCs w:val="16"/>
              </w:rPr>
            </w:pPr>
            <w:r w:rsidRPr="00B50E44">
              <w:rPr>
                <w:sz w:val="16"/>
                <w:szCs w:val="16"/>
              </w:rPr>
              <w:t>Monitor de Ligações (clássico)</w:t>
            </w:r>
          </w:p>
        </w:tc>
        <w:tc>
          <w:tcPr>
            <w:tcW w:w="2491" w:type="pct"/>
          </w:tcPr>
          <w:p w14:paraId="6C475433" w14:textId="77777777" w:rsidR="00430979" w:rsidRPr="00B50E44" w:rsidRDefault="00430979" w:rsidP="00F01ED6">
            <w:pPr>
              <w:pStyle w:val="ProductList-OfferingBody"/>
              <w:rPr>
                <w:szCs w:val="16"/>
              </w:rPr>
            </w:pPr>
            <w:r w:rsidRPr="00B50E44">
              <w:rPr>
                <w:szCs w:val="16"/>
              </w:rPr>
              <w:t>2 minutos</w:t>
            </w:r>
          </w:p>
        </w:tc>
      </w:tr>
      <w:tr w:rsidR="00430979" w:rsidRPr="00B44CF9" w14:paraId="23AAA306" w14:textId="77777777" w:rsidTr="000F31B4">
        <w:trPr>
          <w:trHeight w:val="249"/>
        </w:trPr>
        <w:tc>
          <w:tcPr>
            <w:tcW w:w="2509" w:type="pct"/>
          </w:tcPr>
          <w:p w14:paraId="58E8F7FE" w14:textId="77777777" w:rsidR="00430979" w:rsidRPr="00B50E44" w:rsidRDefault="00430979" w:rsidP="00F01ED6">
            <w:pPr>
              <w:pStyle w:val="ProductList-OfferingBody"/>
              <w:rPr>
                <w:szCs w:val="16"/>
              </w:rPr>
            </w:pPr>
            <w:r w:rsidRPr="00B50E44">
              <w:rPr>
                <w:szCs w:val="16"/>
              </w:rPr>
              <w:t>Resolução de Problemas da VPN</w:t>
            </w:r>
          </w:p>
        </w:tc>
        <w:tc>
          <w:tcPr>
            <w:tcW w:w="2491" w:type="pct"/>
          </w:tcPr>
          <w:p w14:paraId="7C7EB31F" w14:textId="77777777" w:rsidR="00430979" w:rsidRPr="00B50E44" w:rsidRDefault="00430979" w:rsidP="00F01ED6">
            <w:pPr>
              <w:pStyle w:val="ProductList-OfferingBody"/>
              <w:rPr>
                <w:szCs w:val="16"/>
              </w:rPr>
            </w:pPr>
            <w:r w:rsidRPr="00B50E44">
              <w:rPr>
                <w:szCs w:val="16"/>
              </w:rPr>
              <w:t xml:space="preserve">10 minutos </w:t>
            </w:r>
          </w:p>
        </w:tc>
      </w:tr>
    </w:tbl>
    <w:p w14:paraId="643CF345" w14:textId="5E16B9F6" w:rsidR="00430979" w:rsidRPr="00CB7596" w:rsidRDefault="00430979" w:rsidP="00F01ED6">
      <w:pPr>
        <w:spacing w:before="120" w:after="0" w:line="240" w:lineRule="auto"/>
        <w:rPr>
          <w:rFonts w:cstheme="minorHAnsi"/>
          <w:sz w:val="18"/>
          <w:szCs w:val="18"/>
        </w:rPr>
      </w:pPr>
      <w:r w:rsidRPr="00CB7596">
        <w:rPr>
          <w:sz w:val="18"/>
          <w:szCs w:val="18"/>
        </w:rPr>
        <w:t xml:space="preserve">A </w:t>
      </w:r>
      <w:r w:rsidR="00380305" w:rsidRPr="00CB7596">
        <w:rPr>
          <w:rFonts w:cstheme="minorHAnsi"/>
          <w:sz w:val="18"/>
          <w:szCs w:val="18"/>
        </w:rPr>
        <w:t>“</w:t>
      </w:r>
      <w:r w:rsidRPr="00CB7596">
        <w:rPr>
          <w:rFonts w:cstheme="minorHAnsi"/>
          <w:b/>
          <w:color w:val="00188F"/>
          <w:sz w:val="18"/>
          <w:szCs w:val="18"/>
        </w:rPr>
        <w:t>Percentagem de Período de Disponibilidade</w:t>
      </w:r>
      <w:r w:rsidR="00380305" w:rsidRPr="00CB7596">
        <w:rPr>
          <w:rFonts w:cstheme="minorHAnsi"/>
          <w:sz w:val="18"/>
          <w:szCs w:val="18"/>
        </w:rPr>
        <w:t>”</w:t>
      </w:r>
      <w:r w:rsidRPr="00CB7596">
        <w:rPr>
          <w:rFonts w:cstheme="minorHAnsi"/>
          <w:sz w:val="18"/>
          <w:szCs w:val="18"/>
        </w:rPr>
        <w:t xml:space="preserve"> é calculada através da seguinte fórmula:</w:t>
      </w:r>
    </w:p>
    <w:p w14:paraId="680B8244" w14:textId="35A39F3A" w:rsidR="00430979" w:rsidRPr="00EF7CF9" w:rsidRDefault="00000000" w:rsidP="00271701">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F01ED6">
      <w:pPr>
        <w:pStyle w:val="ProductList-Body"/>
      </w:pPr>
      <w:r>
        <w:rPr>
          <w:b/>
          <w:color w:val="00188F"/>
        </w:rPr>
        <w:t>Níveis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B50E44" w:rsidRDefault="00AC48A7" w:rsidP="00F01ED6">
            <w:pPr>
              <w:pStyle w:val="ProductList-OfferingBody"/>
              <w:jc w:val="center"/>
              <w:rPr>
                <w:color w:val="FFFFFF" w:themeColor="background1"/>
                <w:szCs w:val="16"/>
              </w:rPr>
            </w:pPr>
            <w:r w:rsidRPr="00B50E44">
              <w:rPr>
                <w:color w:val="FFFFFF" w:themeColor="background1"/>
                <w:szCs w:val="16"/>
              </w:rPr>
              <w:t>Percentagem de Período de Disponibilidade</w:t>
            </w:r>
          </w:p>
        </w:tc>
        <w:tc>
          <w:tcPr>
            <w:tcW w:w="2487" w:type="pct"/>
            <w:shd w:val="clear" w:color="auto" w:fill="0072C6"/>
          </w:tcPr>
          <w:p w14:paraId="75A13F4F" w14:textId="77777777" w:rsidR="00430979" w:rsidRPr="00B50E44" w:rsidRDefault="00430979" w:rsidP="00F01ED6">
            <w:pPr>
              <w:pStyle w:val="ProductList-OfferingBody"/>
              <w:jc w:val="center"/>
              <w:rPr>
                <w:color w:val="FFFFFF" w:themeColor="background1"/>
                <w:szCs w:val="16"/>
              </w:rPr>
            </w:pPr>
            <w:r w:rsidRPr="00B50E44">
              <w:rPr>
                <w:color w:val="FFFFFF" w:themeColor="background1"/>
                <w:szCs w:val="16"/>
              </w:rPr>
              <w:t>Crédito de Serviço</w:t>
            </w:r>
          </w:p>
        </w:tc>
      </w:tr>
      <w:tr w:rsidR="00430979" w:rsidRPr="00B44CF9" w14:paraId="3DDD643D" w14:textId="77777777" w:rsidTr="000F31B4">
        <w:trPr>
          <w:trHeight w:val="242"/>
        </w:trPr>
        <w:tc>
          <w:tcPr>
            <w:tcW w:w="2513" w:type="pct"/>
          </w:tcPr>
          <w:p w14:paraId="099B35BD" w14:textId="77777777" w:rsidR="00430979" w:rsidRPr="00B50E44" w:rsidRDefault="00430979" w:rsidP="00F01ED6">
            <w:pPr>
              <w:pStyle w:val="ProductList-OfferingBody"/>
              <w:jc w:val="center"/>
              <w:rPr>
                <w:szCs w:val="16"/>
              </w:rPr>
            </w:pPr>
            <w:r w:rsidRPr="00B50E44">
              <w:rPr>
                <w:szCs w:val="16"/>
              </w:rPr>
              <w:t>&lt; 99,9%</w:t>
            </w:r>
          </w:p>
        </w:tc>
        <w:tc>
          <w:tcPr>
            <w:tcW w:w="2487" w:type="pct"/>
          </w:tcPr>
          <w:p w14:paraId="2269548D" w14:textId="77777777" w:rsidR="00430979" w:rsidRPr="00B50E44" w:rsidRDefault="00430979" w:rsidP="00F01ED6">
            <w:pPr>
              <w:pStyle w:val="ProductList-OfferingBody"/>
              <w:jc w:val="center"/>
              <w:rPr>
                <w:szCs w:val="16"/>
              </w:rPr>
            </w:pPr>
            <w:r w:rsidRPr="00B50E44">
              <w:rPr>
                <w:szCs w:val="16"/>
              </w:rPr>
              <w:t>10%</w:t>
            </w:r>
          </w:p>
        </w:tc>
      </w:tr>
      <w:tr w:rsidR="00430979" w:rsidRPr="00B44CF9" w14:paraId="743D0E65" w14:textId="77777777" w:rsidTr="000F31B4">
        <w:trPr>
          <w:trHeight w:val="249"/>
        </w:trPr>
        <w:tc>
          <w:tcPr>
            <w:tcW w:w="2513" w:type="pct"/>
          </w:tcPr>
          <w:p w14:paraId="715B48C8" w14:textId="77777777" w:rsidR="00430979" w:rsidRPr="00B50E44" w:rsidRDefault="00430979" w:rsidP="00F01ED6">
            <w:pPr>
              <w:pStyle w:val="ProductList-OfferingBody"/>
              <w:jc w:val="center"/>
              <w:rPr>
                <w:szCs w:val="16"/>
              </w:rPr>
            </w:pPr>
            <w:r w:rsidRPr="00B50E44">
              <w:rPr>
                <w:szCs w:val="16"/>
              </w:rPr>
              <w:t>&lt; 99%</w:t>
            </w:r>
          </w:p>
        </w:tc>
        <w:tc>
          <w:tcPr>
            <w:tcW w:w="2487" w:type="pct"/>
          </w:tcPr>
          <w:p w14:paraId="56040B94" w14:textId="77777777" w:rsidR="00430979" w:rsidRPr="00B50E44" w:rsidRDefault="00430979" w:rsidP="00F01ED6">
            <w:pPr>
              <w:pStyle w:val="ProductList-OfferingBody"/>
              <w:jc w:val="center"/>
              <w:rPr>
                <w:szCs w:val="16"/>
              </w:rPr>
            </w:pPr>
            <w:r w:rsidRPr="00B50E44">
              <w:rPr>
                <w:szCs w:val="16"/>
              </w:rPr>
              <w:t>25%</w:t>
            </w:r>
          </w:p>
        </w:tc>
      </w:tr>
    </w:tbl>
    <w:bookmarkStart w:id="345" w:name="_Toc457821572"/>
    <w:bookmarkStart w:id="346" w:name="_Toc52348982"/>
    <w:bookmarkEnd w:id="343"/>
    <w:p w14:paraId="373B34E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0314EE" w14:textId="77777777" w:rsidR="00430979" w:rsidRPr="00EF7CF9" w:rsidRDefault="00430979" w:rsidP="00F01ED6">
      <w:pPr>
        <w:pStyle w:val="ProductList-Offering2Heading"/>
        <w:tabs>
          <w:tab w:val="clear" w:pos="360"/>
          <w:tab w:val="clear" w:pos="720"/>
          <w:tab w:val="clear" w:pos="1080"/>
        </w:tabs>
        <w:outlineLvl w:val="2"/>
      </w:pPr>
      <w:bookmarkStart w:id="347" w:name="_Toc214456851"/>
      <w:r>
        <w:t>Hubs de Notificação</w:t>
      </w:r>
      <w:bookmarkEnd w:id="345"/>
      <w:bookmarkEnd w:id="346"/>
      <w:bookmarkEnd w:id="347"/>
    </w:p>
    <w:p w14:paraId="7246C680" w14:textId="77777777" w:rsidR="00430979" w:rsidRPr="00EF7CF9" w:rsidRDefault="00430979" w:rsidP="00F01ED6">
      <w:pPr>
        <w:pStyle w:val="ProductList-Body"/>
      </w:pPr>
      <w:r>
        <w:rPr>
          <w:b/>
          <w:color w:val="00188F"/>
        </w:rPr>
        <w:t>Definições Adicionais</w:t>
      </w:r>
      <w:r w:rsidRPr="00473DD3">
        <w:rPr>
          <w:b/>
          <w:color w:val="00188F"/>
        </w:rPr>
        <w:t>:</w:t>
      </w:r>
    </w:p>
    <w:p w14:paraId="203A06C0" w14:textId="79802AD3" w:rsidR="00430979" w:rsidRPr="00EF7CF9" w:rsidRDefault="00380305" w:rsidP="00F01ED6">
      <w:pPr>
        <w:pStyle w:val="ProductList-Body"/>
      </w:pPr>
      <w:r>
        <w:t>“</w:t>
      </w:r>
      <w:r w:rsidR="00430979">
        <w:rPr>
          <w:b/>
          <w:color w:val="00188F"/>
        </w:rPr>
        <w:t>Minutos de Implementação</w:t>
      </w:r>
      <w:r>
        <w:t>”</w:t>
      </w:r>
      <w:r w:rsidR="00430979">
        <w:t xml:space="preserve"> designa o número total de minutos durante os quais um determinado Hub de Notificação foi implementado no Microsoft Azure durante um Período Aplicável.</w:t>
      </w:r>
    </w:p>
    <w:p w14:paraId="6D21BD1A" w14:textId="308F999E" w:rsidR="00430979" w:rsidRPr="00EF7CF9" w:rsidRDefault="00380305" w:rsidP="00F01ED6">
      <w:pPr>
        <w:pStyle w:val="ProductList-Body"/>
      </w:pPr>
      <w:r>
        <w:t>“</w:t>
      </w:r>
      <w:r w:rsidR="00430979">
        <w:rPr>
          <w:b/>
          <w:color w:val="00188F"/>
        </w:rPr>
        <w:t>Máximo de Minutos Disponíveis</w:t>
      </w:r>
      <w:r>
        <w:t>”</w:t>
      </w:r>
      <w:r w:rsidR="00430979">
        <w:t xml:space="preserve"> designa a soma de todos os Minutos de Implementação em todos os Hubs de Notificação implementados pelo Cliente numa determinada subscrição do Microsoft Azure nas camadas Basic ou Standard dos Hubs de Notificação durante um Período Aplicável.</w:t>
      </w:r>
    </w:p>
    <w:p w14:paraId="426087FB" w14:textId="168DD1DC" w:rsidR="00430979" w:rsidRPr="00EF7CF9" w:rsidRDefault="00430979" w:rsidP="005E5DC2">
      <w:pPr>
        <w:pStyle w:val="ProductList-Body"/>
        <w:keepNext/>
        <w:keepLines/>
      </w:pPr>
      <w:r>
        <w:rPr>
          <w:b/>
          <w:color w:val="00188F"/>
        </w:rPr>
        <w:lastRenderedPageBreak/>
        <w:t>Período de Indisponibilidade</w:t>
      </w:r>
      <w:r w:rsidRPr="00473DD3">
        <w:rPr>
          <w:b/>
          <w:color w:val="00188F"/>
        </w:rPr>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0C4D73A4" w14:textId="77D9F744" w:rsidR="0043097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58A694" w14:textId="113B4B4B" w:rsidR="00430979" w:rsidRPr="00EF7CF9" w:rsidRDefault="00000000" w:rsidP="00AB6E4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FB4ECA" w14:textId="77777777" w:rsidR="00430979" w:rsidRPr="00EF7CF9" w:rsidRDefault="0043097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FB8E86" w14:textId="77777777" w:rsidR="00430979" w:rsidRPr="00EF7CF9" w:rsidRDefault="00430979" w:rsidP="00F01ED6">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277097">
        <w:tc>
          <w:tcPr>
            <w:tcW w:w="5400" w:type="dxa"/>
          </w:tcPr>
          <w:p w14:paraId="74AA00A9" w14:textId="77777777" w:rsidR="00430979" w:rsidRPr="00EF7CF9" w:rsidRDefault="00430979" w:rsidP="00F01ED6">
            <w:pPr>
              <w:pStyle w:val="ProductList-OfferingBody"/>
              <w:jc w:val="center"/>
            </w:pPr>
            <w:r>
              <w:t>&lt; 99,9%</w:t>
            </w:r>
          </w:p>
        </w:tc>
        <w:tc>
          <w:tcPr>
            <w:tcW w:w="5400" w:type="dxa"/>
          </w:tcPr>
          <w:p w14:paraId="38E84104" w14:textId="77777777" w:rsidR="00430979" w:rsidRPr="00EF7CF9" w:rsidRDefault="00430979" w:rsidP="00F01ED6">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F01ED6">
            <w:pPr>
              <w:pStyle w:val="ProductList-OfferingBody"/>
              <w:jc w:val="center"/>
            </w:pPr>
            <w:r>
              <w:t>&lt; 99%</w:t>
            </w:r>
          </w:p>
        </w:tc>
        <w:tc>
          <w:tcPr>
            <w:tcW w:w="5400" w:type="dxa"/>
          </w:tcPr>
          <w:p w14:paraId="437A1D31" w14:textId="77777777" w:rsidR="00430979" w:rsidRPr="00EF7CF9" w:rsidRDefault="00430979" w:rsidP="00F01ED6">
            <w:pPr>
              <w:pStyle w:val="ProductList-OfferingBody"/>
              <w:jc w:val="center"/>
            </w:pPr>
            <w:r>
              <w:t>25%</w:t>
            </w:r>
          </w:p>
        </w:tc>
      </w:tr>
    </w:tbl>
    <w:p w14:paraId="65389EC9" w14:textId="51329B8F" w:rsidR="00430979" w:rsidRPr="00EF7CF9" w:rsidRDefault="00430979" w:rsidP="00AB6E4B">
      <w:pPr>
        <w:pStyle w:val="ProductList-Body"/>
        <w:keepNext/>
        <w:spacing w:before="120"/>
      </w:pPr>
      <w:r>
        <w:rPr>
          <w:b/>
          <w:color w:val="00188F"/>
        </w:rPr>
        <w:t>Exceções de Nível de Serviço</w:t>
      </w:r>
      <w:r w:rsidRPr="00473DD3">
        <w:rPr>
          <w:b/>
          <w:color w:val="00188F"/>
        </w:rPr>
        <w:t>:</w:t>
      </w:r>
      <w:r>
        <w:t xml:space="preserve"> Os Níveis de Serviço e Créditos de Serviço são aplicáveis à utilização que o Cliente faz das camadas Basic e Standard dos Hubs de Notificação.</w:t>
      </w:r>
    </w:p>
    <w:p w14:paraId="4EF7993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35A5FD93" w14:textId="77777777" w:rsidR="00430979" w:rsidRPr="00430979" w:rsidRDefault="00430979" w:rsidP="00F01ED6">
      <w:pPr>
        <w:pStyle w:val="ProductList-Offering2Heading"/>
        <w:keepNext/>
        <w:tabs>
          <w:tab w:val="clear" w:pos="360"/>
          <w:tab w:val="clear" w:pos="720"/>
          <w:tab w:val="clear" w:pos="1080"/>
        </w:tabs>
        <w:outlineLvl w:val="2"/>
      </w:pPr>
      <w:bookmarkStart w:id="348" w:name="_Toc214456852"/>
      <w:r>
        <w:t>Reservas de Capacidade A Pedido para Máquinas Virtuais do Azure</w:t>
      </w:r>
      <w:bookmarkEnd w:id="348"/>
    </w:p>
    <w:p w14:paraId="3BFDCAB1" w14:textId="77777777" w:rsidR="00430979" w:rsidRPr="00430979" w:rsidRDefault="00430979" w:rsidP="00F01ED6">
      <w:pPr>
        <w:pStyle w:val="ProductList-Body"/>
        <w:rPr>
          <w:b/>
          <w:bCs/>
          <w:color w:val="00188F"/>
        </w:rPr>
      </w:pPr>
      <w:r>
        <w:rPr>
          <w:b/>
          <w:bCs/>
          <w:color w:val="00188F"/>
        </w:rPr>
        <w:t>Definições Adicionais</w:t>
      </w:r>
    </w:p>
    <w:p w14:paraId="1255BD6C" w14:textId="1E94AF1E" w:rsidR="00430979" w:rsidRDefault="00380305" w:rsidP="00F01ED6">
      <w:pPr>
        <w:pStyle w:val="ProductList-Body"/>
        <w:jc w:val="both"/>
      </w:pPr>
      <w:r>
        <w:t>“</w:t>
      </w:r>
      <w:r w:rsidR="00430979">
        <w:rPr>
          <w:b/>
          <w:bCs/>
          <w:color w:val="00188F"/>
        </w:rPr>
        <w:t>Zona de Disponibilidade</w:t>
      </w:r>
      <w:r>
        <w:t>”</w:t>
      </w:r>
      <w:r w:rsidR="00430979">
        <w:t xml:space="preserve"> designa uma área isolada de falhas numa região do Azure que providencia alimentação, refrigeração e rede redundantes.</w:t>
      </w:r>
    </w:p>
    <w:p w14:paraId="75068006" w14:textId="4B91D340" w:rsidR="00430979" w:rsidRDefault="00380305" w:rsidP="00F01ED6">
      <w:pPr>
        <w:pStyle w:val="ProductList-Body"/>
        <w:jc w:val="both"/>
      </w:pPr>
      <w:r>
        <w:t>“</w:t>
      </w:r>
      <w:r w:rsidR="00430979">
        <w:rPr>
          <w:b/>
          <w:bCs/>
          <w:color w:val="00188F"/>
        </w:rPr>
        <w:t>Capacidade</w:t>
      </w:r>
      <w:r>
        <w:t>”</w:t>
      </w:r>
      <w:r w:rsidR="00430979">
        <w:t xml:space="preserve"> é uma propriedade de uma Reserva de Capacidade A Pedido que especifica a quantidade de instâncias de Máquina Virtual reservadas</w:t>
      </w:r>
    </w:p>
    <w:p w14:paraId="2E6509A9" w14:textId="6FEA8C6F" w:rsidR="00430979" w:rsidRDefault="00380305" w:rsidP="00F01ED6">
      <w:pPr>
        <w:pStyle w:val="ProductList-Body"/>
      </w:pPr>
      <w:r>
        <w:t>“</w:t>
      </w:r>
      <w:r w:rsidR="00430979">
        <w:rPr>
          <w:b/>
          <w:bCs/>
          <w:color w:val="00188F"/>
        </w:rPr>
        <w:t>Reserva de Capacidade A Pedido</w:t>
      </w:r>
      <w:r>
        <w:t>”</w:t>
      </w:r>
      <w:r w:rsidR="00430979">
        <w:t xml:space="preserve"> é um objeto criado numa subscrição do Azure para exprimir uma quantidade de capacidade reservada para um tipo de instância de Máquina Virtual específico numa localização específica.</w:t>
      </w:r>
    </w:p>
    <w:p w14:paraId="5B67FE53" w14:textId="59944DDE" w:rsidR="00430979" w:rsidRDefault="00380305" w:rsidP="00F01ED6">
      <w:pPr>
        <w:pStyle w:val="ProductList-Body"/>
      </w:pPr>
      <w:r>
        <w:t>“</w:t>
      </w:r>
      <w:r w:rsidR="00430979">
        <w:rPr>
          <w:b/>
          <w:bCs/>
          <w:color w:val="00188F"/>
        </w:rPr>
        <w:t>Máquina Virtual</w:t>
      </w:r>
      <w:r>
        <w:t>”</w:t>
      </w:r>
      <w:r w:rsidR="00430979">
        <w:t xml:space="preserve"> designa os tipos de instância persistentes que podem ser implementados individualmente ou como parte de um Conjunto de</w:t>
      </w:r>
      <w:r w:rsidR="00A73E81">
        <w:t> </w:t>
      </w:r>
      <w:r w:rsidR="00430979">
        <w:t>Dimensionamento de Máquinas Virtuais, num ambiente multi-inquilino em Azure.</w:t>
      </w:r>
    </w:p>
    <w:p w14:paraId="44DFECDB" w14:textId="2D143B7C" w:rsidR="00430979" w:rsidRDefault="00380305" w:rsidP="00F01ED6">
      <w:pPr>
        <w:pStyle w:val="ProductList-Body"/>
      </w:pPr>
      <w:r>
        <w:t>“</w:t>
      </w:r>
      <w:r w:rsidR="00430979">
        <w:rPr>
          <w:b/>
          <w:bCs/>
          <w:color w:val="00188F"/>
        </w:rPr>
        <w:t>Máquinas Virtuais Alocadas</w:t>
      </w:r>
      <w:r>
        <w:t>”</w:t>
      </w:r>
      <w:r w:rsidR="00430979">
        <w:t xml:space="preserve"> é uma propriedade de uma Reserva de Capacidade A Pedido; refere-se à lista de Máquinas Virtuais alocadas à</w:t>
      </w:r>
      <w:r w:rsidR="005E5DC2">
        <w:t> </w:t>
      </w:r>
      <w:r w:rsidR="00430979">
        <w:t>Reserva de Capacidade A Pedido.</w:t>
      </w:r>
    </w:p>
    <w:p w14:paraId="39559A6B" w14:textId="20F2EF41" w:rsidR="00430979" w:rsidRDefault="00380305" w:rsidP="00F01ED6">
      <w:pPr>
        <w:pStyle w:val="ProductList-Body"/>
      </w:pPr>
      <w:r>
        <w:t>“</w:t>
      </w:r>
      <w:r w:rsidR="00430979">
        <w:rPr>
          <w:b/>
          <w:bCs/>
          <w:color w:val="00188F"/>
        </w:rPr>
        <w:t>Implementação Suportada</w:t>
      </w:r>
      <w:r>
        <w:t>”</w:t>
      </w:r>
      <w:r w:rsidR="00430979">
        <w:t xml:space="preserve"> é uma implementação de Máquina Virtual que corresponde à localização, incluindo a Zona de Disponibilidade, se</w:t>
      </w:r>
      <w:r w:rsidR="00186295">
        <w:t> </w:t>
      </w:r>
      <w:r w:rsidR="00430979">
        <w:t>for</w:t>
      </w:r>
      <w:r w:rsidR="00186295">
        <w:t> </w:t>
      </w:r>
      <w:r w:rsidR="00430979">
        <w:t>definida, utiliza o tamanho exato da Máquina Virtual de uma Reserva de Capacidade A Pedido existente e está em conformidade com a</w:t>
      </w:r>
      <w:r w:rsidR="005E5DC2">
        <w:t> </w:t>
      </w:r>
      <w:hyperlink r:id="rId20" w:anchor="limitations-and-restrictions" w:history="1">
        <w:r w:rsidR="00430979">
          <w:rPr>
            <w:rStyle w:val="Hyperlink"/>
          </w:rPr>
          <w:t>documentação de utilização</w:t>
        </w:r>
      </w:hyperlink>
      <w:r w:rsidR="00430979">
        <w:t xml:space="preserve"> da funcionalidade.</w:t>
      </w:r>
    </w:p>
    <w:p w14:paraId="5C1CD026" w14:textId="145B1602" w:rsidR="00430979" w:rsidRDefault="00380305" w:rsidP="00F01ED6">
      <w:pPr>
        <w:pStyle w:val="ProductList-Body"/>
      </w:pPr>
      <w:r>
        <w:t>“</w:t>
      </w:r>
      <w:r w:rsidR="00430979">
        <w:rPr>
          <w:b/>
          <w:bCs/>
          <w:color w:val="00188F"/>
        </w:rPr>
        <w:t>Unidade Reservada</w:t>
      </w:r>
      <w:r>
        <w:t>”</w:t>
      </w:r>
      <w:r w:rsidR="00430979">
        <w:t xml:space="preserve"> é exatamente uma instância de uma Reserva de Capacidade A Pedido. Por exemplo, se uma Reserva de Capacidade A Pedido especifica uma Capacidade de 10 Máquinas Virtuais, significa que existem 10 Unidades Reservadas.</w:t>
      </w:r>
    </w:p>
    <w:p w14:paraId="7B8AC567" w14:textId="40DF3D35" w:rsidR="00430979" w:rsidRDefault="00380305" w:rsidP="00F01ED6">
      <w:pPr>
        <w:pStyle w:val="ProductList-Body"/>
        <w:jc w:val="both"/>
      </w:pPr>
      <w:r>
        <w:t>“</w:t>
      </w:r>
      <w:r w:rsidR="00430979">
        <w:rPr>
          <w:b/>
          <w:bCs/>
          <w:color w:val="00188F"/>
        </w:rPr>
        <w:t>Reserva de Capacidade Não Utilizada</w:t>
      </w:r>
      <w:r>
        <w:t>”</w:t>
      </w:r>
      <w:r w:rsidR="00430979">
        <w:t xml:space="preserve"> é uma Reserva de Capacidade A Pedido com o número de Máquinas Virtuais Alocadas inferior à Capacidade.</w:t>
      </w:r>
    </w:p>
    <w:p w14:paraId="17BB0F27" w14:textId="2087F40A" w:rsidR="00430979" w:rsidRDefault="00380305" w:rsidP="00F01ED6">
      <w:pPr>
        <w:pStyle w:val="ProductList-Body"/>
      </w:pPr>
      <w:r>
        <w:t>“</w:t>
      </w:r>
      <w:r w:rsidR="00430979">
        <w:rPr>
          <w:b/>
          <w:bCs/>
          <w:color w:val="00188F"/>
        </w:rPr>
        <w:t>Indisponível para Implementação</w:t>
      </w:r>
      <w:r>
        <w:t>”</w:t>
      </w:r>
      <w:r w:rsidR="00430979">
        <w:t xml:space="preserve"> é definido como qualquer Implementação Suportada configurada para consumir uma Reserva de Capacidade Não Utilizada existente que satisfaz as duas condições:</w:t>
      </w:r>
    </w:p>
    <w:p w14:paraId="22D3FF4F" w14:textId="02B6D5D5" w:rsidR="00430979" w:rsidRDefault="00430979" w:rsidP="00F01ED6">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implementação da Máquina Virtual para outros tipos de erros ou devido a uma falta de capacidade para os discos ou qualquer outro recurso do Azure não cumpre este requisito; e</w:t>
      </w:r>
    </w:p>
    <w:p w14:paraId="355ADB92" w14:textId="13C66690" w:rsidR="00430979" w:rsidRDefault="00430979" w:rsidP="00F01ED6">
      <w:pPr>
        <w:pStyle w:val="ProductList-Body"/>
        <w:numPr>
          <w:ilvl w:val="1"/>
          <w:numId w:val="23"/>
        </w:numPr>
        <w:tabs>
          <w:tab w:val="clear" w:pos="360"/>
          <w:tab w:val="clear" w:pos="720"/>
          <w:tab w:val="clear" w:pos="1080"/>
        </w:tabs>
        <w:ind w:left="540" w:hanging="180"/>
      </w:pPr>
      <w:r>
        <w:t>A Reserva de Capacidade Não Utilizada continua a satisfazer a definição da Reserva de Capacidade Não Utilizada (por exemplo, outras Máquinas Virtuais ainda não consumiram a Reserva de Capacidade Não Utilizada).</w:t>
      </w:r>
    </w:p>
    <w:p w14:paraId="7A5EDA90" w14:textId="32AFCFA7" w:rsidR="00430979" w:rsidRPr="00430979" w:rsidRDefault="00EE6E3C" w:rsidP="00D67D10">
      <w:pPr>
        <w:pStyle w:val="ProductList-Body"/>
        <w:rPr>
          <w:b/>
          <w:bCs/>
          <w:color w:val="00188F"/>
        </w:rPr>
      </w:pPr>
      <w:r>
        <w:rPr>
          <w:b/>
          <w:bCs/>
          <w:color w:val="00188F"/>
        </w:rPr>
        <w:t>Cálculo do Período de Disponibilidade e Níveis de Serviço para a Reserva de Capacidade A Pedido</w:t>
      </w:r>
    </w:p>
    <w:p w14:paraId="23F3C9D0" w14:textId="126AC575" w:rsidR="00430979" w:rsidRDefault="00380305" w:rsidP="00F01ED6">
      <w:pPr>
        <w:pStyle w:val="ProductList-Body"/>
      </w:pPr>
      <w:r>
        <w:t>“</w:t>
      </w:r>
      <w:r w:rsidR="00430979">
        <w:rPr>
          <w:b/>
          <w:bCs/>
          <w:color w:val="00188F"/>
        </w:rPr>
        <w:t>Minutes de Indisponibilidade</w:t>
      </w:r>
      <w:r>
        <w:t>”</w:t>
      </w:r>
      <w:r w:rsidR="00430979">
        <w:t xml:space="preserve"> é definido como os minutos que uma Reserva de Capacidade Não Utilizada está Indisponível para Implementação. Desde o momento em que ocorre uma condução Indisponível para Implementação, os Minutes de Indisponibilidade serão acumulados até (a) uma Implementação Suportada subsequente ser concluída com êxito, (b) outra condição Indisponível para Implementação resulta de outra tentativa de Implementação Suportada, ou (c) decorreram 15 minutos. Se decorrerem 15 minutos sem uma tentativa de Implementação Suportada, os Minutes de Indisponibilidade retomarão a acumulação após uma condição Indisponível para Implementação subsequente.</w:t>
      </w:r>
    </w:p>
    <w:p w14:paraId="5A920202" w14:textId="77777777" w:rsidR="00430979" w:rsidRPr="00F2068A" w:rsidRDefault="00430979" w:rsidP="00F01ED6">
      <w:pPr>
        <w:pStyle w:val="ProductList-Body"/>
        <w:rPr>
          <w:sz w:val="14"/>
        </w:rPr>
      </w:pPr>
    </w:p>
    <w:p w14:paraId="2E63F193" w14:textId="77777777" w:rsidR="00430979" w:rsidRPr="00F2068A" w:rsidRDefault="00430979" w:rsidP="00F01ED6">
      <w:pPr>
        <w:pStyle w:val="ProductList-Body"/>
        <w:rPr>
          <w:spacing w:val="-4"/>
        </w:rPr>
      </w:pPr>
      <w:r w:rsidRPr="00F2068A">
        <w:rPr>
          <w:spacing w:val="-4"/>
        </w:rPr>
        <w:t>Os Minutos de Indisponibilidade serão acumulados para cada Unidade Reservada que não for possível utilizar. Se uma Unidade Reservada for utilizada enquanto outra permanecer não utilizada, os Minutos de Indisponibilidade continuarão a ser acumulados apenas para a Unidade Reservada não utilizada.</w:t>
      </w:r>
    </w:p>
    <w:p w14:paraId="4B376EFE" w14:textId="77777777" w:rsidR="00430979" w:rsidRPr="00F2068A" w:rsidRDefault="00430979" w:rsidP="00F01ED6">
      <w:pPr>
        <w:pStyle w:val="ProductList-Body"/>
        <w:rPr>
          <w:sz w:val="14"/>
        </w:rPr>
      </w:pPr>
    </w:p>
    <w:p w14:paraId="28A9D0E7" w14:textId="63865D7A" w:rsidR="00430979" w:rsidRDefault="00430979" w:rsidP="00F01ED6">
      <w:pPr>
        <w:pStyle w:val="ProductList-Body"/>
      </w:pPr>
      <w:r>
        <w:t xml:space="preserve">Consulte o </w:t>
      </w:r>
      <w:r>
        <w:fldChar w:fldCharType="begin"/>
      </w:r>
      <w:r>
        <w:instrText>HYPERLINK "https://docs.microsoft.com/en-us/azure/virtual-machines/capacity-reservation-overview" \l "sla-for-capacity-reservation"</w:instrText>
      </w:r>
      <w:r>
        <w:fldChar w:fldCharType="separate"/>
      </w:r>
      <w:r>
        <w:rPr>
          <w:rStyle w:val="Hyperlink"/>
        </w:rPr>
        <w:t>cálculo de exemplo</w:t>
      </w:r>
      <w:r>
        <w:fldChar w:fldCharType="end"/>
      </w:r>
      <w:r>
        <w:t xml:space="preserve"> na documentação da funcionalidade.</w:t>
      </w:r>
    </w:p>
    <w:p w14:paraId="15C00477" w14:textId="77777777" w:rsidR="00430979" w:rsidRPr="00F2068A" w:rsidRDefault="00430979" w:rsidP="00F01ED6">
      <w:pPr>
        <w:pStyle w:val="ProductList-Body"/>
        <w:rPr>
          <w:sz w:val="14"/>
        </w:rPr>
      </w:pPr>
    </w:p>
    <w:p w14:paraId="0277F4D8" w14:textId="3280F27F" w:rsidR="00430979" w:rsidRDefault="00380305" w:rsidP="00F01ED6">
      <w:pPr>
        <w:pStyle w:val="ProductList-Body"/>
      </w:pPr>
      <w:r>
        <w:t>“</w:t>
      </w:r>
      <w:r w:rsidR="00430979">
        <w:rPr>
          <w:b/>
          <w:bCs/>
          <w:color w:val="00188F"/>
        </w:rPr>
        <w:t>Período de Indisponibilidade</w:t>
      </w:r>
      <w:r>
        <w:t>”</w:t>
      </w:r>
      <w:r w:rsidR="00430979">
        <w:t xml:space="preserve"> é o total acumulado de Minutos de Indisponibilidade que fazem parte dos minutos num determinado mês calculados por Unidade Reservada.</w:t>
      </w:r>
    </w:p>
    <w:p w14:paraId="34C52979" w14:textId="7F515EE4" w:rsidR="00430979" w:rsidRDefault="00430979" w:rsidP="00F01ED6">
      <w:pPr>
        <w:pStyle w:val="ProductList-Body"/>
      </w:pPr>
      <w:r>
        <w:t xml:space="preserve">A </w:t>
      </w:r>
      <w:r w:rsidR="00380305">
        <w:t>“</w:t>
      </w:r>
      <w:r>
        <w:rPr>
          <w:b/>
          <w:bCs/>
          <w:color w:val="00188F"/>
        </w:rPr>
        <w:t>Percentagem de Período de Disponibilidade</w:t>
      </w:r>
      <w:r w:rsidR="00380305">
        <w:t>”</w:t>
      </w:r>
      <w:r>
        <w:t xml:space="preserve"> para cada Unidade Reservada é calculada pela percentagem de Minutos no Período Aplicável em que uma Unidade Reservada teve Período de Indisponibilidade.</w:t>
      </w:r>
    </w:p>
    <w:p w14:paraId="6F2C9ED3" w14:textId="23E36989" w:rsidR="00430979" w:rsidRPr="00EF7CF9" w:rsidRDefault="00000000" w:rsidP="005D141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num Período Aplicável - Período de Indisponibilidade</m:t>
              </m:r>
            </m:num>
            <m:den>
              <m:r>
                <m:rPr>
                  <m:nor/>
                </m:rPr>
                <w:rPr>
                  <w:rFonts w:ascii="Cambria Math" w:hAnsi="Cambria Math" w:cs="Tahoma"/>
                  <w:i/>
                  <w:sz w:val="18"/>
                  <w:szCs w:val="18"/>
                </w:rPr>
                <m:t>Minutos num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68C008B2" w:rsidR="00430979" w:rsidRDefault="00430979" w:rsidP="00F01ED6">
      <w:pPr>
        <w:pStyle w:val="ProductList-Body"/>
      </w:pPr>
      <w:r>
        <w:rPr>
          <w:b/>
          <w:bCs/>
          <w:color w:val="00188F"/>
        </w:rPr>
        <w:t>Os seguintes Níveis de Serviço e Créditos de Serviço são aplicáveis à utilização que o Cliente faz de cada Unidade Reservada numa Reserva de</w:t>
      </w:r>
      <w:r w:rsidR="009325B8">
        <w:rPr>
          <w:b/>
          <w:bCs/>
          <w:color w:val="00188F"/>
        </w:rPr>
        <w:t> </w:t>
      </w:r>
      <w:r>
        <w:rPr>
          <w:b/>
          <w:bCs/>
          <w:color w:val="00188F"/>
        </w:rPr>
        <w:t>Capacidade A Pedido.</w:t>
      </w:r>
      <w:r>
        <w:t xml:space="preserve"> Os Créditos de Serviço são emitidos com base no custo de cada Unidade Reservada, não no custo global da Reserva de</w:t>
      </w:r>
      <w:r w:rsidR="009325B8">
        <w:t> </w:t>
      </w:r>
      <w:r>
        <w:t>Capacidade A Pedido.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F599AF" w14:textId="77777777" w:rsidR="00BF15F8" w:rsidRPr="00EF7CF9" w:rsidRDefault="00BF15F8" w:rsidP="00F01ED6">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277097">
        <w:tc>
          <w:tcPr>
            <w:tcW w:w="5400" w:type="dxa"/>
          </w:tcPr>
          <w:p w14:paraId="62DC3151" w14:textId="77777777" w:rsidR="00BF15F8" w:rsidRPr="00EF7CF9" w:rsidRDefault="00BF15F8" w:rsidP="00F01ED6">
            <w:pPr>
              <w:pStyle w:val="ProductList-OfferingBody"/>
              <w:jc w:val="center"/>
            </w:pPr>
            <w:r>
              <w:t>&lt; 99,9%</w:t>
            </w:r>
          </w:p>
        </w:tc>
        <w:tc>
          <w:tcPr>
            <w:tcW w:w="5400" w:type="dxa"/>
          </w:tcPr>
          <w:p w14:paraId="345CC8EB" w14:textId="77777777" w:rsidR="00BF15F8" w:rsidRPr="00EF7CF9" w:rsidRDefault="00BF15F8" w:rsidP="00F01ED6">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F01ED6">
            <w:pPr>
              <w:pStyle w:val="ProductList-OfferingBody"/>
              <w:jc w:val="center"/>
            </w:pPr>
            <w:r>
              <w:t>&lt; 99%</w:t>
            </w:r>
          </w:p>
        </w:tc>
        <w:tc>
          <w:tcPr>
            <w:tcW w:w="5400" w:type="dxa"/>
          </w:tcPr>
          <w:p w14:paraId="04B0AB48" w14:textId="77777777" w:rsidR="00BF15F8" w:rsidRPr="00EF7CF9" w:rsidRDefault="00BF15F8" w:rsidP="00F01ED6">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F01ED6">
            <w:pPr>
              <w:pStyle w:val="ProductList-OfferingBody"/>
              <w:jc w:val="center"/>
            </w:pPr>
            <w:r>
              <w:t>&lt; 95%</w:t>
            </w:r>
          </w:p>
        </w:tc>
        <w:tc>
          <w:tcPr>
            <w:tcW w:w="5400" w:type="dxa"/>
          </w:tcPr>
          <w:p w14:paraId="0B6CDF92" w14:textId="7AD7C73E" w:rsidR="00BF15F8" w:rsidRPr="00EF7CF9" w:rsidRDefault="00BF15F8" w:rsidP="00F01ED6">
            <w:pPr>
              <w:pStyle w:val="ProductList-OfferingBody"/>
              <w:jc w:val="center"/>
            </w:pPr>
            <w:r>
              <w:t>100%</w:t>
            </w:r>
          </w:p>
        </w:tc>
      </w:tr>
    </w:tbl>
    <w:p w14:paraId="7DC23F1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B72D001" w14:textId="73C454C8" w:rsidR="00AA3975" w:rsidRPr="003162A8" w:rsidRDefault="00A75938" w:rsidP="00F01ED6">
      <w:pPr>
        <w:pStyle w:val="ProductList-Offering2Heading"/>
        <w:keepNext/>
        <w:tabs>
          <w:tab w:val="clear" w:pos="360"/>
          <w:tab w:val="clear" w:pos="720"/>
          <w:tab w:val="clear" w:pos="1080"/>
        </w:tabs>
        <w:outlineLvl w:val="2"/>
      </w:pPr>
      <w:bookmarkStart w:id="349" w:name="_Toc214456853"/>
      <w:r>
        <w:t xml:space="preserve">Modelos do </w:t>
      </w:r>
      <w:r w:rsidR="00AA3975">
        <w:t xml:space="preserve">Azure AI </w:t>
      </w:r>
      <w:r>
        <w:t>Foundry</w:t>
      </w:r>
      <w:bookmarkEnd w:id="349"/>
    </w:p>
    <w:p w14:paraId="4064F46C" w14:textId="77777777" w:rsidR="00110FE2" w:rsidRPr="002B0ABE" w:rsidRDefault="00110FE2" w:rsidP="00110FE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do Período de Disponibilidade e Níveis de Serviço para os Modelos do Azure AI Foundry</w:t>
      </w:r>
    </w:p>
    <w:p w14:paraId="7C019BC3" w14:textId="77777777" w:rsidR="00110FE2" w:rsidRDefault="00110FE2" w:rsidP="00110FE2">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944399">
        <w:rPr>
          <w:rStyle w:val="normaltextrun"/>
          <w:rFonts w:ascii="Calibri" w:eastAsiaTheme="majorEastAsia" w:hAnsi="Calibri" w:cs="Calibri"/>
          <w:b/>
          <w:color w:val="00188F"/>
          <w:sz w:val="18"/>
          <w:szCs w:val="18"/>
        </w:rPr>
        <w:t>:</w:t>
      </w:r>
    </w:p>
    <w:p w14:paraId="64C18172" w14:textId="77777777" w:rsidR="00110FE2" w:rsidRDefault="00110FE2" w:rsidP="00110FE2">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“Recurso do Azure AI Foundry”</w:t>
      </w:r>
      <w:r>
        <w:rPr>
          <w:rFonts w:ascii="Calibri" w:hAnsi="Calibri" w:cs="Calibri"/>
          <w:b/>
          <w:bCs/>
        </w:rPr>
        <w:t xml:space="preserve"> </w:t>
      </w:r>
      <w:r>
        <w:rPr>
          <w:rFonts w:ascii="Calibri" w:eastAsia="Times New Roman" w:hAnsi="Calibri" w:cs="Calibri"/>
          <w:color w:val="000000"/>
          <w:sz w:val="18"/>
          <w:szCs w:val="18"/>
          <w:bdr w:val="none" w:sz="0" w:space="0" w:color="auto" w:frame="1"/>
        </w:rPr>
        <w:t>designa um recurso do Azure para o tipo Azure AI Foundry criado numa região do Azure numa subscrição do Microsoft Azure.</w:t>
      </w:r>
    </w:p>
    <w:p w14:paraId="6E8FEB1F" w14:textId="77777777" w:rsidR="00110FE2" w:rsidRDefault="00110FE2" w:rsidP="00110FE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“Pedido”</w:t>
      </w:r>
      <w:r>
        <w:rPr>
          <w:rFonts w:ascii="Calibri" w:hAnsi="Calibri" w:cs="Calibri"/>
        </w:rPr>
        <w:t xml:space="preserve"> </w:t>
      </w:r>
      <w:r>
        <w:rPr>
          <w:rFonts w:ascii="Calibri" w:eastAsia="Times New Roman" w:hAnsi="Calibri" w:cs="Calibri"/>
          <w:color w:val="000000"/>
          <w:sz w:val="18"/>
          <w:szCs w:val="18"/>
          <w:bdr w:val="none" w:sz="0" w:space="0" w:color="auto" w:frame="1"/>
        </w:rPr>
        <w:t>é uma chamada de API para um ponto final do modelo num Recurso do Azure AI Foundry.</w:t>
      </w:r>
      <w:r>
        <w:br/>
      </w:r>
      <w:r>
        <w:rPr>
          <w:rFonts w:ascii="Calibri" w:eastAsia="Times New Roman" w:hAnsi="Calibri" w:cs="Calibri"/>
          <w:b/>
          <w:bCs/>
          <w:color w:val="00188F"/>
          <w:sz w:val="18"/>
          <w:szCs w:val="18"/>
          <w:bdr w:val="none" w:sz="0" w:space="0" w:color="auto" w:frame="1"/>
        </w:rPr>
        <w:t>“Taxa Média de Erros”</w:t>
      </w:r>
      <w:r>
        <w:rPr>
          <w:rFonts w:ascii="Calibri" w:eastAsia="Times New Roman" w:hAnsi="Calibri" w:cs="Calibri"/>
          <w:color w:val="000000"/>
          <w:sz w:val="18"/>
          <w:szCs w:val="18"/>
          <w:bdr w:val="none" w:sz="0" w:space="0" w:color="auto" w:frame="1"/>
        </w:rPr>
        <w:t xml:space="preserve"> para um Período Aplicável designa a soma das Taxas de Erros para cada minuto no Período Aplicável a dividir pelo número total de minutos no Período Aplicável.</w:t>
      </w:r>
    </w:p>
    <w:p w14:paraId="223BF601" w14:textId="77777777" w:rsidR="00110FE2" w:rsidRDefault="00110FE2" w:rsidP="00110FE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“Taxa de Erros”</w:t>
      </w:r>
      <w:r>
        <w:rPr>
          <w:rFonts w:ascii="Calibri" w:eastAsia="Times New Roman" w:hAnsi="Calibri" w:cs="Calibri"/>
          <w:color w:val="000000"/>
          <w:sz w:val="18"/>
          <w:szCs w:val="18"/>
          <w:bdr w:val="none" w:sz="0" w:space="0" w:color="auto" w:frame="1"/>
        </w:rPr>
        <w:t xml:space="preserve"> designa o</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número total de Pedidos que devolvem um Código de Erro dividido pelo número total de Pedidos durante um minuto. Se o número total de Pedidos num determinado intervalo de minutos for zero, a taxa de erros para esse intervalo é de 0%.</w:t>
      </w:r>
    </w:p>
    <w:p w14:paraId="71595402" w14:textId="77777777" w:rsidR="00110FE2" w:rsidRDefault="00110FE2" w:rsidP="00110FE2">
      <w:pPr>
        <w:spacing w:after="0" w:line="240" w:lineRule="auto"/>
        <w:rPr>
          <w:rFonts w:ascii="Calibri" w:eastAsia="Times New Roman" w:hAnsi="Calibri" w:cs="Calibri"/>
          <w:color w:val="000000"/>
          <w:sz w:val="18"/>
          <w:szCs w:val="18"/>
          <w:bdr w:val="none" w:sz="0" w:space="0" w:color="auto" w:frame="1"/>
        </w:rPr>
      </w:pPr>
      <w:r w:rsidRPr="00E14EF8">
        <w:rPr>
          <w:sz w:val="18"/>
          <w:szCs w:val="18"/>
        </w:rPr>
        <w:t>A</w:t>
      </w:r>
      <w:r>
        <w:t xml:space="preserve"> </w:t>
      </w:r>
      <w:r>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Percentagem de Período de Disponibilidade”</w:t>
      </w:r>
      <w:r>
        <w:rPr>
          <w:rFonts w:ascii="Calibri" w:hAnsi="Calibri" w:cs="Calibri"/>
          <w:b/>
          <w:bCs/>
        </w:rPr>
        <w:t xml:space="preserve"> </w:t>
      </w:r>
      <w:r>
        <w:rPr>
          <w:rFonts w:ascii="Calibri" w:eastAsia="Times New Roman" w:hAnsi="Calibri" w:cs="Calibri"/>
          <w:color w:val="000000"/>
          <w:sz w:val="18"/>
          <w:szCs w:val="18"/>
          <w:bdr w:val="none" w:sz="0" w:space="0" w:color="auto" w:frame="1"/>
        </w:rPr>
        <w:t>é representada pela seguinte fórmula</w:t>
      </w:r>
    </w:p>
    <w:p w14:paraId="06EFA6BA" w14:textId="77777777" w:rsidR="00110FE2" w:rsidRPr="00480FE2" w:rsidRDefault="00110FE2" w:rsidP="00AB6E4B">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100%-Taxa Média de Erros</m:t>
          </m:r>
        </m:oMath>
      </m:oMathPara>
    </w:p>
    <w:p w14:paraId="32DBD6C8" w14:textId="77777777" w:rsidR="00110FE2" w:rsidRDefault="00110FE2" w:rsidP="00110FE2">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944399">
        <w:rPr>
          <w:rStyle w:val="normaltextrun"/>
          <w:rFonts w:ascii="Calibri" w:eastAsiaTheme="majorEastAsia" w:hAnsi="Calibri" w:cs="Calibri"/>
          <w:b/>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110FE2" w14:paraId="6557150E" w14:textId="77777777" w:rsidTr="0078028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6CB8CC0" w14:textId="77777777" w:rsidR="00110FE2" w:rsidRDefault="00110FE2"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39E37047" w14:textId="77777777" w:rsidR="00110FE2" w:rsidRDefault="00110FE2"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110FE2" w14:paraId="6746ED41"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8CF9BF1" w14:textId="77777777" w:rsidR="00110FE2" w:rsidRDefault="00110FE2"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2F9E4EEF" w14:textId="77777777" w:rsidR="00110FE2" w:rsidRDefault="00110FE2"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110FE2" w14:paraId="00FDEA68"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708CCED" w14:textId="77777777" w:rsidR="00110FE2" w:rsidRDefault="00110FE2"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7AA72AC" w14:textId="77777777" w:rsidR="00110FE2" w:rsidRDefault="00110FE2"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8165AEB" w14:textId="77777777" w:rsidR="00110FE2" w:rsidRDefault="00110FE2" w:rsidP="00110FE2">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Exceções de Nível de Serviço: </w:t>
      </w:r>
      <w:r>
        <w:rPr>
          <w:rFonts w:ascii="Calibri" w:eastAsia="Times New Roman" w:hAnsi="Calibri" w:cs="Calibri"/>
          <w:color w:val="000000"/>
          <w:sz w:val="18"/>
          <w:szCs w:val="18"/>
          <w:bdr w:val="none" w:sz="0" w:space="0" w:color="auto" w:frame="1"/>
        </w:rPr>
        <w:t>Os Níveis de Serviço e os Créditos de Serviço são aplicáveis à utilização que o Cliente faz da camada Standard dos Modelos do Azure AI Foundry e só de aplicam aos Modelos do Azure Direct. A camada Programador do Serviço Modelos do Azure AI Foundry não é abrangida por este SLA.</w:t>
      </w:r>
    </w:p>
    <w:p w14:paraId="7CAAB99E" w14:textId="77777777" w:rsidR="00110FE2" w:rsidRPr="004E0D07" w:rsidRDefault="00110FE2" w:rsidP="00110FE2">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Cálculo da Latência e Níveis de Serviço para os Modelos do Azure AI Foundry com Débito Aprovisionado </w:t>
      </w:r>
    </w:p>
    <w:p w14:paraId="3C9FDC58" w14:textId="77777777" w:rsidR="00110FE2" w:rsidRPr="004E0D07" w:rsidRDefault="00110FE2" w:rsidP="00110FE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Definições Adicionais</w:t>
      </w:r>
    </w:p>
    <w:p w14:paraId="5BD4FA74"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Implementação do Débito Aprovisionado dos Modelos do Azure AI Foundry</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é um Modelo do Azure AI Foundry implementado através do débito aprovisionado para um modelo aplicável num Recurso do Azure AI Foundry. </w:t>
      </w:r>
    </w:p>
    <w:p w14:paraId="14990FDB"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Tamanho Máximo do Pedido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designa o número máximo de tokens de entrada e saída que podem ser incluídos num determinado pedido para um modelo especificado do Azure AI Foundry, conforme definido pela documentação do produto. </w:t>
      </w:r>
    </w:p>
    <w:p w14:paraId="4F02049F"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designa o número de Pedidos Com Êxito feitos para uma Implementação com Débito Aprovisionado dos Modelos do Azure AI Foundry com um tamanho máximo do pedido menor ou igual ao limite fornecido para o modelo do Azure OpenAI especificado num determinado minuto. </w:t>
      </w:r>
    </w:p>
    <w:p w14:paraId="1B782D38"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Tokens Por Segundo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designa uma medição de latência que enumera a velocidade de geração de uma determinada resposta do Modelo do Azure AI Foundry. O total de tokens gerados é dividido pelo tempo necessário para gerá-los. Os tokens gerados são contados como todos os tokens gerados após o primeiro token. </w:t>
      </w:r>
    </w:p>
    <w:p w14:paraId="6C6B6E92"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Valor-alvo de Latência do SLA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designa o objetivo de latência em Tokens por Segundo para um determinado modelo, conforme definido pela documentação do produto.</w:t>
      </w:r>
    </w:p>
    <w:p w14:paraId="707DBDD7"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designa os tempos de resposta em N que cumprem os seguintes critérios e são determinados da seguinte forma: </w:t>
      </w:r>
    </w:p>
    <w:p w14:paraId="22E8C30A" w14:textId="77777777" w:rsidR="00110FE2" w:rsidRPr="004E0D07" w:rsidRDefault="00110FE2" w:rsidP="00110FE2">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Por Segundo para as chamadas que geram mais tokens do que o Valor-alvo de Latência do SLA OU que demoram mais de 1 segundo a gerar todas as respostas </w:t>
      </w:r>
    </w:p>
    <w:p w14:paraId="568F19B1" w14:textId="77777777" w:rsidR="00110FE2" w:rsidRPr="004E0D07" w:rsidRDefault="00110FE2" w:rsidP="00110FE2">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Valor-alvo de Latência do SLA para as chamadas que geram um valor menor ou igual ao Valor-alvo de Latência do SLA E que demoram menos de 1 segundo a gerar todos os tokens de resposta </w:t>
      </w:r>
    </w:p>
    <w:p w14:paraId="4AD98AF2" w14:textId="77777777" w:rsidR="00110FE2" w:rsidRPr="004E0D07" w:rsidRDefault="00110FE2" w:rsidP="00110FE2">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para todas as chamadas que geram 1 ou menos tokens </w:t>
      </w:r>
    </w:p>
    <w:p w14:paraId="16B4321E"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Média de Tokens Por Segundo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designa a média de Tokens Por Segundo para todos os S num determinado minuto. </w:t>
      </w:r>
    </w:p>
    <w:p w14:paraId="19F37853"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Minutos de Latência Excessiva</w:t>
      </w:r>
      <w:r>
        <w:rPr>
          <w:rStyle w:val="normaltextrun"/>
          <w:rFonts w:ascii="Calibri" w:eastAsiaTheme="majorEastAsia" w:hAnsi="Calibri" w:cs="Calibri"/>
          <w:b/>
          <w:color w:val="00188F"/>
          <w:sz w:val="18"/>
          <w:szCs w:val="18"/>
        </w:rPr>
        <w:t>”</w:t>
      </w:r>
      <w:r w:rsidRPr="008F2C8F">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designa o número total de intervalos de um minuto durante os quais a Média de Tokens Por Segundo é menor que o Valor-alvo de Latência do SLA. Se N for zero, os Minutos de Latência Excessiva para esse intervalo são 0. </w:t>
      </w:r>
    </w:p>
    <w:p w14:paraId="2C5BD04F"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lastRenderedPageBreak/>
        <w:t>“</w:t>
      </w:r>
      <w:r>
        <w:rPr>
          <w:rFonts w:ascii="Calibri" w:eastAsia="Times New Roman" w:hAnsi="Calibri" w:cs="Calibri"/>
          <w:b/>
          <w:bCs/>
          <w:color w:val="00188F"/>
          <w:sz w:val="18"/>
          <w:szCs w:val="18"/>
          <w:bdr w:val="none" w:sz="0" w:space="0" w:color="auto" w:frame="1"/>
        </w:rPr>
        <w:t>Taxa Média de Latência Excessiva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para um Período Aplicável é a soma de Minutos de Latência Excessiva dividida pelo número total de minutos no Período Aplicável. </w:t>
      </w:r>
    </w:p>
    <w:p w14:paraId="59533D77" w14:textId="77777777" w:rsidR="00110FE2"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Percentagem de Realização Média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para uma determinada Implementação com Débito Aprovisionado dos Modelos do Azure AI Foundry é calculada ao subtrair de 100% a Taxa de Latência Excessiva Média para um determinado Recurso do Azure AI Foundry num Período Aplicável. </w:t>
      </w:r>
    </w:p>
    <w:p w14:paraId="6969E51B"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p>
    <w:p w14:paraId="1E8725B6" w14:textId="77777777" w:rsidR="00110FE2"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Percentagem de Realização de Latência de Tempo Entre Tokens é representada pela seguinte fórmula:</w:t>
      </w:r>
    </w:p>
    <w:p w14:paraId="42C1073C" w14:textId="77777777" w:rsidR="00110FE2" w:rsidRPr="00480FE2" w:rsidRDefault="00110FE2" w:rsidP="00AB6E4B">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100%-Média Excessivo Taxa de Latência</m:t>
          </m:r>
        </m:oMath>
      </m:oMathPara>
    </w:p>
    <w:p w14:paraId="52C3AF63" w14:textId="77777777" w:rsidR="00110FE2" w:rsidRDefault="00110FE2" w:rsidP="00110FE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0FE2" w:rsidRPr="00EF7CF9" w14:paraId="66C380DD" w14:textId="77777777" w:rsidTr="0078028E">
        <w:trPr>
          <w:tblHeader/>
        </w:trPr>
        <w:tc>
          <w:tcPr>
            <w:tcW w:w="5400" w:type="dxa"/>
            <w:shd w:val="clear" w:color="auto" w:fill="0072C6"/>
          </w:tcPr>
          <w:p w14:paraId="382C5CE2" w14:textId="77777777" w:rsidR="00110FE2" w:rsidRPr="00C16F9E" w:rsidRDefault="00110FE2"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Concretização Média</w:t>
            </w:r>
          </w:p>
        </w:tc>
        <w:tc>
          <w:tcPr>
            <w:tcW w:w="5400" w:type="dxa"/>
            <w:shd w:val="clear" w:color="auto" w:fill="0072C6"/>
          </w:tcPr>
          <w:p w14:paraId="18F41482" w14:textId="77777777" w:rsidR="00110FE2" w:rsidRPr="00C16F9E" w:rsidRDefault="00110FE2"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110FE2" w:rsidRPr="00EF7CF9" w14:paraId="734E4F96" w14:textId="77777777" w:rsidTr="0078028E">
        <w:tc>
          <w:tcPr>
            <w:tcW w:w="5400" w:type="dxa"/>
          </w:tcPr>
          <w:p w14:paraId="75337C9E" w14:textId="77777777" w:rsidR="00110FE2" w:rsidRPr="00C16F9E" w:rsidRDefault="00110FE2"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5340AD89" w14:textId="77777777" w:rsidR="00110FE2" w:rsidRPr="00C16F9E" w:rsidRDefault="00110FE2" w:rsidP="0078028E">
            <w:pPr>
              <w:pStyle w:val="ProductList-OfferingBody"/>
              <w:jc w:val="center"/>
              <w:rPr>
                <w:rFonts w:ascii="Calibri" w:hAnsi="Calibri" w:cs="Calibri"/>
                <w:szCs w:val="16"/>
              </w:rPr>
            </w:pPr>
            <w:r>
              <w:rPr>
                <w:rFonts w:ascii="Calibri" w:hAnsi="Calibri" w:cs="Calibri"/>
                <w:szCs w:val="16"/>
              </w:rPr>
              <w:t>10%</w:t>
            </w:r>
          </w:p>
        </w:tc>
      </w:tr>
    </w:tbl>
    <w:p w14:paraId="1E502023" w14:textId="77777777" w:rsidR="00110FE2" w:rsidRDefault="00110FE2" w:rsidP="00110FE2">
      <w:pPr>
        <w:shd w:val="clear" w:color="auto" w:fill="FFFFFF"/>
        <w:spacing w:before="120" w:after="4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Exceções de Nível de Serviço: </w:t>
      </w:r>
      <w:r>
        <w:rPr>
          <w:rFonts w:ascii="Calibri" w:eastAsia="Times New Roman" w:hAnsi="Calibri" w:cs="Calibri"/>
          <w:sz w:val="18"/>
          <w:szCs w:val="18"/>
          <w:bdr w:val="none" w:sz="0" w:space="0" w:color="auto" w:frame="1"/>
        </w:rPr>
        <w:t>Os Níveis de Serviço e os Créditos de Serviço são aplicáveis à utilização que o Cliente faz da camada Standard dos Modelos do Azure AI Foundry e aplicáveis apenas aos Modelos do Azure Direct onde o Valor-alvo de Latência do SLA é definido na documentação do produto. A camada Programador do Serviço Modelos do Azure AI Foundry não é abrangida por este SLA.</w:t>
      </w:r>
    </w:p>
    <w:p w14:paraId="22609408" w14:textId="77777777" w:rsidR="005E5DC2" w:rsidRPr="00EF7CF9" w:rsidRDefault="005E5DC2" w:rsidP="00610081">
      <w:pPr>
        <w:pStyle w:val="ProductList-Body"/>
        <w:shd w:val="clear" w:color="auto" w:fill="808080" w:themeFill="background1" w:themeFillShade="80"/>
        <w:tabs>
          <w:tab w:val="clear" w:pos="360"/>
          <w:tab w:val="clear" w:pos="720"/>
          <w:tab w:val="clear" w:pos="1080"/>
        </w:tabs>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07B8BCFD" w14:textId="77777777" w:rsidR="00610081" w:rsidRPr="00C72B45" w:rsidRDefault="00610081" w:rsidP="00610081">
      <w:pPr>
        <w:pStyle w:val="ProductList-Offering2Heading"/>
        <w:tabs>
          <w:tab w:val="clear" w:pos="360"/>
          <w:tab w:val="clear" w:pos="720"/>
          <w:tab w:val="clear" w:pos="1080"/>
        </w:tabs>
        <w:outlineLvl w:val="2"/>
        <w:rPr>
          <w:rFonts w:ascii="Calibri Light" w:hAnsi="Calibri Light" w:cs="Calibri Light"/>
        </w:rPr>
      </w:pPr>
      <w:bookmarkStart w:id="350" w:name="_Toc214456854"/>
      <w:r>
        <w:rPr>
          <w:rFonts w:ascii="Calibri Light" w:hAnsi="Calibri Light" w:cs="Calibri Light"/>
        </w:rPr>
        <w:t>Replicação de Objetos – Replicação com Prioridade</w:t>
      </w:r>
      <w:bookmarkEnd w:id="350"/>
    </w:p>
    <w:p w14:paraId="5536DF92" w14:textId="77777777" w:rsidR="00610081" w:rsidRDefault="00610081" w:rsidP="00610081">
      <w:pPr>
        <w:spacing w:after="0"/>
        <w:rPr>
          <w:rFonts w:ascii="Calibri" w:eastAsia="Calibri" w:hAnsi="Calibri" w:cs="Calibri"/>
          <w:sz w:val="18"/>
          <w:szCs w:val="18"/>
        </w:rPr>
      </w:pPr>
      <w:r>
        <w:rPr>
          <w:rFonts w:ascii="Calibri" w:eastAsia="Calibri" w:hAnsi="Calibri" w:cs="Calibri"/>
          <w:sz w:val="18"/>
          <w:szCs w:val="18"/>
        </w:rPr>
        <w:t>Este SLA aplica-se a qualquer Política de Replicação em que a Conta de Armazenamento de Origem e a Conta de Armazenamento de Destino estejam localizadas no mesmo continente e sejam elegíveis para Replicação com Prioridade.</w:t>
      </w:r>
    </w:p>
    <w:p w14:paraId="6BCDEF1C" w14:textId="77777777" w:rsidR="00610081" w:rsidRPr="004948E2" w:rsidRDefault="00610081" w:rsidP="00610081">
      <w:pPr>
        <w:pStyle w:val="ProductList-Body"/>
        <w:rPr>
          <w:rFonts w:ascii="Calibri" w:hAnsi="Calibri" w:cs="Calibri"/>
          <w:b/>
          <w:bCs/>
          <w:color w:val="00188F"/>
        </w:rPr>
      </w:pPr>
      <w:r>
        <w:rPr>
          <w:rFonts w:ascii="Calibri" w:hAnsi="Calibri" w:cs="Calibri"/>
          <w:b/>
          <w:bCs/>
          <w:color w:val="00188F"/>
        </w:rPr>
        <w:t>Definições Adicionais</w:t>
      </w:r>
      <w:r>
        <w:rPr>
          <w:rFonts w:ascii="Calibri" w:hAnsi="Calibri" w:cs="Calibri"/>
        </w:rPr>
        <w:t>:</w:t>
      </w:r>
    </w:p>
    <w:p w14:paraId="565B061F"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Contentor de Destino</w:t>
      </w:r>
      <w:r>
        <w:rPr>
          <w:rFonts w:ascii="Calibri" w:eastAsia="Calibri" w:hAnsi="Calibri" w:cs="Arial"/>
          <w:sz w:val="18"/>
        </w:rPr>
        <w:t>” é o contentor para o qual as operações são replicadas de forma assíncrona para o âmbito de uma Política de Replicação de Objetos.</w:t>
      </w:r>
    </w:p>
    <w:p w14:paraId="7D06C453"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Conta de Armazenamento de Destino</w:t>
      </w:r>
      <w:r>
        <w:rPr>
          <w:rFonts w:ascii="Calibri" w:eastAsia="Calibri" w:hAnsi="Calibri" w:cs="Arial"/>
          <w:sz w:val="18"/>
        </w:rPr>
        <w:t>” é uma conta de armazenamento para a qual as operações são replicadas de forma assíncrona, com base numa Política de Replicação que um utilizador configura com a Replicação de Objetos na sua Conta de Armazenamento de Origem.</w:t>
      </w:r>
    </w:p>
    <w:p w14:paraId="07A6A808"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0D6A98">
        <w:rPr>
          <w:rFonts w:ascii="Calibri" w:eastAsia="Calibri" w:hAnsi="Calibri" w:cs="Arial"/>
          <w:b/>
          <w:bCs/>
          <w:color w:val="00188F"/>
          <w:sz w:val="18"/>
        </w:rPr>
        <w:t>Operação com Atraso Excedido</w:t>
      </w:r>
      <w:r>
        <w:rPr>
          <w:rFonts w:ascii="Calibri" w:eastAsia="Calibri" w:hAnsi="Calibri" w:cs="Arial"/>
          <w:sz w:val="18"/>
        </w:rPr>
        <w:t>” é qualquer operação (dados, metadados, propriedades ou eliminações) que esteja pendente de replicação há mais de 15 minutos ou que demore mais de 15 minutos a ser replicada da Conta de Armazenamento de Origem para a Conta de Armazenamento de Destino durante o mês de faturação.</w:t>
      </w:r>
    </w:p>
    <w:p w14:paraId="1F88E265"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Replicação de Objetos</w:t>
      </w:r>
      <w:r>
        <w:rPr>
          <w:rFonts w:ascii="Calibri" w:eastAsia="Calibri" w:hAnsi="Calibri" w:cs="Arial"/>
          <w:sz w:val="18"/>
        </w:rPr>
        <w:t>” é uma funcionalidade da conta de armazenamento que copia de forma assíncrona blobs de blocos de uma Conta de Armazenamento de Origem para uma Conta de Armazenamento de Destino. Os blobs de blocos num contentor são replicadas segundo as Regras de Replicação que um utilizador configura. O conteúdo do blob, quaisquer versões associadas ao blob e os metadados, as propriedades e as eliminações do blob são todos copiados do Contentor de Origem para o Contentor de Destino.</w:t>
      </w:r>
    </w:p>
    <w:p w14:paraId="61620BF7"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Atraso de Replicação</w:t>
      </w:r>
      <w:r>
        <w:rPr>
          <w:rFonts w:ascii="Calibri" w:eastAsia="Calibri" w:hAnsi="Calibri" w:cs="Arial"/>
          <w:sz w:val="18"/>
        </w:rPr>
        <w:t>” indica o período de tempo decorrido entre o momento em que uma operação é feita na Conta de Armazenamento de Origem e o momento em que a operação é replicada para a Conta de Armazenamento de Destino.</w:t>
      </w:r>
    </w:p>
    <w:p w14:paraId="0971E351" w14:textId="77777777" w:rsidR="00610081" w:rsidRPr="00F52E24" w:rsidRDefault="00610081" w:rsidP="00610081">
      <w:pPr>
        <w:tabs>
          <w:tab w:val="left" w:pos="360"/>
          <w:tab w:val="left" w:pos="720"/>
          <w:tab w:val="left" w:pos="1080"/>
        </w:tabs>
        <w:spacing w:after="0" w:line="240" w:lineRule="auto"/>
        <w:rPr>
          <w:rFonts w:ascii="Calibri" w:eastAsia="Calibri" w:hAnsi="Calibri" w:cs="Arial"/>
          <w:sz w:val="18"/>
          <w:szCs w:val="18"/>
        </w:rPr>
      </w:pPr>
      <w:r w:rsidRPr="00F52E24">
        <w:rPr>
          <w:sz w:val="18"/>
          <w:szCs w:val="18"/>
        </w:rPr>
        <w:t xml:space="preserve">A </w:t>
      </w:r>
      <w:r w:rsidRPr="00F52E24">
        <w:rPr>
          <w:rFonts w:ascii="Calibri" w:eastAsia="Calibri" w:hAnsi="Calibri" w:cs="Arial"/>
          <w:sz w:val="18"/>
          <w:szCs w:val="18"/>
        </w:rPr>
        <w:t>“</w:t>
      </w:r>
      <w:r w:rsidRPr="00F52E24">
        <w:rPr>
          <w:rFonts w:ascii="Calibri" w:eastAsia="Calibri" w:hAnsi="Calibri" w:cs="Arial"/>
          <w:b/>
          <w:bCs/>
          <w:color w:val="00188F"/>
          <w:sz w:val="18"/>
          <w:szCs w:val="18"/>
        </w:rPr>
        <w:t>Política de Replicação</w:t>
      </w:r>
      <w:r w:rsidRPr="00F52E24">
        <w:rPr>
          <w:rFonts w:ascii="Calibri" w:eastAsia="Calibri" w:hAnsi="Calibri" w:cs="Arial"/>
          <w:sz w:val="18"/>
          <w:szCs w:val="18"/>
        </w:rPr>
        <w:t>” especifica a Conta de Armazenamento de Origem e a Conta de Armazenamento de Destino. Uma Política de Replicação inclui uma ou mais regras que especificam um Contentor de Origem e um Contentor de Destino, e indicam que blobs de blocos no Contentor de Origem serão replicados.</w:t>
      </w:r>
    </w:p>
    <w:p w14:paraId="712A5312"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Regra de Replicação</w:t>
      </w:r>
      <w:r>
        <w:rPr>
          <w:rFonts w:ascii="Calibri" w:eastAsia="Calibri" w:hAnsi="Calibri" w:cs="Arial"/>
          <w:sz w:val="18"/>
        </w:rPr>
        <w:t>” especifica como o Armazenamento do Azure irá replicar as operações de um Contentor de Origem para um Contentor de Destino.</w:t>
      </w:r>
    </w:p>
    <w:p w14:paraId="7FC1BFAA"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Contentor de Origem</w:t>
      </w:r>
      <w:r>
        <w:rPr>
          <w:rFonts w:ascii="Calibri" w:eastAsia="Calibri" w:hAnsi="Calibri" w:cs="Arial"/>
          <w:sz w:val="18"/>
        </w:rPr>
        <w:t>” é o contentor para o qual uma operação é carregada originalmente no âmbito de uma Política de Replicação.</w:t>
      </w:r>
    </w:p>
    <w:p w14:paraId="46E2CCC7" w14:textId="77777777" w:rsidR="00610081" w:rsidRPr="00C853AB" w:rsidRDefault="00610081" w:rsidP="00610081">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Conta de Armazenamento de Origem</w:t>
      </w:r>
      <w:r>
        <w:rPr>
          <w:rFonts w:ascii="Calibri" w:eastAsia="Yu Mincho" w:hAnsi="Calibri" w:cs="Arial"/>
          <w:sz w:val="18"/>
          <w:szCs w:val="18"/>
        </w:rPr>
        <w:t>” é uma conta de armazenamento onde são criadas as Políticas de Replicação e as Regras de Replicação. As operações são feitas nesta conta de armazenamento e, em seguida, replicadas de forma assíncrona para a Conta de Armazenamento de Destino.</w:t>
      </w:r>
    </w:p>
    <w:p w14:paraId="05D6B70D"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Total de Operações</w:t>
      </w:r>
      <w:r>
        <w:rPr>
          <w:rFonts w:ascii="Calibri" w:eastAsia="Calibri" w:hAnsi="Calibri" w:cs="Arial"/>
          <w:sz w:val="18"/>
        </w:rPr>
        <w:t>” é o número total de operações replicadas ou pendentes de replicação pela Replicação de Objetos para o período aplicável durante o mês de faturação.</w:t>
      </w:r>
    </w:p>
    <w:p w14:paraId="19392F83"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“Percentagem Mensal de Conformidade”: A Percentagem Mensal de Conformidade é calculada através da seguinte fórmula:</w:t>
      </w:r>
    </w:p>
    <w:p w14:paraId="5BC84608" w14:textId="77777777" w:rsidR="00610081" w:rsidRPr="004E133B" w:rsidRDefault="00000000" w:rsidP="00610081">
      <w:pPr>
        <w:pStyle w:val="ProductList-Body"/>
        <w:spacing w:before="120"/>
        <w:jc w:val="center"/>
      </w:pPr>
      <m:oMathPara>
        <m:oMath>
          <m:f>
            <m:fPr>
              <m:ctrlPr>
                <w:rPr>
                  <w:rFonts w:ascii="Cambria Math" w:hAnsi="Cambria Math"/>
                </w:rPr>
              </m:ctrlPr>
            </m:fPr>
            <m:num>
              <m:r>
                <w:rPr>
                  <w:rFonts w:ascii="Cambria Math" w:hAnsi="Cambria Math"/>
                </w:rPr>
                <m:t>Total de Operações - Operações de Atraso Excedidas </m:t>
              </m:r>
            </m:num>
            <m:den>
              <m:r>
                <w:rPr>
                  <w:rFonts w:ascii="Cambria Math" w:hAnsi="Cambria Math"/>
                </w:rPr>
                <m:t>Total de Operações</m:t>
              </m:r>
            </m:den>
          </m:f>
          <m:r>
            <w:rPr>
              <w:rFonts w:ascii="Cambria Math" w:hAnsi="Cambria Math"/>
            </w:rPr>
            <m:t> x 100</m:t>
          </m:r>
        </m:oMath>
      </m:oMathPara>
    </w:p>
    <w:p w14:paraId="2D339053" w14:textId="77777777" w:rsidR="00610081" w:rsidRPr="004948E2" w:rsidRDefault="00610081" w:rsidP="00610081">
      <w:pPr>
        <w:pStyle w:val="ProductList-Body"/>
        <w:keepNext/>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081" w:rsidRPr="0084755E" w14:paraId="455B13BA" w14:textId="77777777" w:rsidTr="00954FA1">
        <w:trPr>
          <w:trHeight w:val="245"/>
          <w:tblHeader/>
        </w:trPr>
        <w:tc>
          <w:tcPr>
            <w:tcW w:w="5400" w:type="dxa"/>
            <w:shd w:val="clear" w:color="auto" w:fill="0072C6"/>
          </w:tcPr>
          <w:p w14:paraId="2E349DD0" w14:textId="77777777" w:rsidR="00610081" w:rsidRPr="0084755E" w:rsidRDefault="00610081"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Mensal de Conformidade</w:t>
            </w:r>
          </w:p>
        </w:tc>
        <w:tc>
          <w:tcPr>
            <w:tcW w:w="5400" w:type="dxa"/>
            <w:shd w:val="clear" w:color="auto" w:fill="0072C6"/>
          </w:tcPr>
          <w:p w14:paraId="3397105A" w14:textId="77777777" w:rsidR="00610081" w:rsidRPr="0084755E" w:rsidRDefault="00610081"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610081" w:rsidRPr="0084755E" w14:paraId="5A286161" w14:textId="77777777" w:rsidTr="00954FA1">
        <w:trPr>
          <w:trHeight w:val="245"/>
        </w:trPr>
        <w:tc>
          <w:tcPr>
            <w:tcW w:w="5400" w:type="dxa"/>
          </w:tcPr>
          <w:p w14:paraId="5210A7E7" w14:textId="77777777" w:rsidR="00610081" w:rsidRPr="0084755E" w:rsidRDefault="00610081" w:rsidP="00954FA1">
            <w:pPr>
              <w:pStyle w:val="ProductList-OfferingBody"/>
              <w:jc w:val="center"/>
              <w:rPr>
                <w:rFonts w:ascii="Calibri" w:hAnsi="Calibri" w:cs="Calibri"/>
                <w:szCs w:val="16"/>
              </w:rPr>
            </w:pPr>
            <w:r>
              <w:rPr>
                <w:rFonts w:ascii="Calibri" w:eastAsia="Times New Roman" w:hAnsi="Calibri" w:cs="Calibri"/>
                <w:szCs w:val="16"/>
              </w:rPr>
              <w:t>Menos de 99% e superior ou igual a 95% </w:t>
            </w:r>
          </w:p>
        </w:tc>
        <w:tc>
          <w:tcPr>
            <w:tcW w:w="5400" w:type="dxa"/>
          </w:tcPr>
          <w:p w14:paraId="640620E2" w14:textId="77777777" w:rsidR="00610081" w:rsidRPr="0084755E" w:rsidRDefault="00610081" w:rsidP="00954FA1">
            <w:pPr>
              <w:pStyle w:val="ProductList-OfferingBody"/>
              <w:jc w:val="center"/>
              <w:rPr>
                <w:rFonts w:ascii="Calibri" w:hAnsi="Calibri" w:cs="Calibri"/>
                <w:szCs w:val="16"/>
              </w:rPr>
            </w:pPr>
            <w:r>
              <w:rPr>
                <w:rFonts w:ascii="Calibri" w:hAnsi="Calibri" w:cs="Calibri"/>
                <w:szCs w:val="16"/>
              </w:rPr>
              <w:t>10%</w:t>
            </w:r>
          </w:p>
        </w:tc>
      </w:tr>
      <w:tr w:rsidR="00610081" w:rsidRPr="0084755E" w14:paraId="04DDB4DC" w14:textId="77777777" w:rsidTr="00954FA1">
        <w:trPr>
          <w:trHeight w:val="245"/>
        </w:trPr>
        <w:tc>
          <w:tcPr>
            <w:tcW w:w="5400" w:type="dxa"/>
          </w:tcPr>
          <w:p w14:paraId="5A2CB9ED" w14:textId="77777777" w:rsidR="00610081" w:rsidRPr="0084755E" w:rsidRDefault="00610081" w:rsidP="00954FA1">
            <w:pPr>
              <w:pStyle w:val="ProductList-OfferingBody"/>
              <w:jc w:val="center"/>
              <w:rPr>
                <w:rFonts w:ascii="Calibri" w:hAnsi="Calibri" w:cs="Calibri"/>
                <w:szCs w:val="16"/>
              </w:rPr>
            </w:pPr>
            <w:r>
              <w:rPr>
                <w:rFonts w:ascii="Calibri" w:eastAsia="Times New Roman" w:hAnsi="Calibri" w:cs="Calibri"/>
                <w:szCs w:val="16"/>
              </w:rPr>
              <w:t>Menos de 95% e superior ou igual a 90% </w:t>
            </w:r>
          </w:p>
        </w:tc>
        <w:tc>
          <w:tcPr>
            <w:tcW w:w="5400" w:type="dxa"/>
          </w:tcPr>
          <w:p w14:paraId="00E5A453" w14:textId="77777777" w:rsidR="00610081" w:rsidRPr="0084755E" w:rsidRDefault="00610081" w:rsidP="00954FA1">
            <w:pPr>
              <w:pStyle w:val="ProductList-OfferingBody"/>
              <w:jc w:val="center"/>
              <w:rPr>
                <w:rFonts w:ascii="Calibri" w:hAnsi="Calibri" w:cs="Calibri"/>
                <w:szCs w:val="16"/>
              </w:rPr>
            </w:pPr>
            <w:r>
              <w:rPr>
                <w:rFonts w:ascii="Calibri" w:hAnsi="Calibri" w:cs="Calibri"/>
                <w:szCs w:val="16"/>
              </w:rPr>
              <w:t>25%</w:t>
            </w:r>
          </w:p>
        </w:tc>
      </w:tr>
      <w:tr w:rsidR="00610081" w:rsidRPr="0084755E" w14:paraId="135C106D" w14:textId="77777777" w:rsidTr="00954FA1">
        <w:trPr>
          <w:trHeight w:val="245"/>
        </w:trPr>
        <w:tc>
          <w:tcPr>
            <w:tcW w:w="5400" w:type="dxa"/>
          </w:tcPr>
          <w:p w14:paraId="487011F2" w14:textId="77777777" w:rsidR="00610081" w:rsidRPr="0084755E" w:rsidRDefault="00610081" w:rsidP="00954FA1">
            <w:pPr>
              <w:pStyle w:val="ProductList-OfferingBody"/>
              <w:jc w:val="center"/>
              <w:rPr>
                <w:rFonts w:ascii="Calibri" w:hAnsi="Calibri" w:cs="Calibri"/>
                <w:szCs w:val="16"/>
              </w:rPr>
            </w:pPr>
            <w:r>
              <w:rPr>
                <w:rFonts w:ascii="Calibri" w:eastAsia="Times New Roman" w:hAnsi="Calibri" w:cs="Calibri"/>
                <w:szCs w:val="16"/>
              </w:rPr>
              <w:t>&lt;90% </w:t>
            </w:r>
          </w:p>
        </w:tc>
        <w:tc>
          <w:tcPr>
            <w:tcW w:w="5400" w:type="dxa"/>
          </w:tcPr>
          <w:p w14:paraId="0E6D54D4" w14:textId="77777777" w:rsidR="00610081" w:rsidRPr="0084755E" w:rsidRDefault="00610081" w:rsidP="00954FA1">
            <w:pPr>
              <w:pStyle w:val="ProductList-OfferingBody"/>
              <w:jc w:val="center"/>
              <w:rPr>
                <w:rFonts w:ascii="Calibri" w:hAnsi="Calibri" w:cs="Calibri"/>
                <w:szCs w:val="16"/>
              </w:rPr>
            </w:pPr>
            <w:r>
              <w:rPr>
                <w:rFonts w:ascii="Calibri" w:hAnsi="Calibri" w:cs="Calibri"/>
                <w:szCs w:val="16"/>
              </w:rPr>
              <w:t>100%</w:t>
            </w:r>
          </w:p>
        </w:tc>
      </w:tr>
    </w:tbl>
    <w:p w14:paraId="4DEEDD0B" w14:textId="77777777" w:rsidR="00610081" w:rsidRPr="0089329F" w:rsidRDefault="00610081" w:rsidP="00610081">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Exceções de Nível de Serviço:</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Este SLA não se aplica a:</w:t>
      </w:r>
    </w:p>
    <w:p w14:paraId="5FA2D8B8" w14:textId="77777777" w:rsidR="00610081" w:rsidRPr="0089329F" w:rsidRDefault="00610081" w:rsidP="00610081">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Contas de armazenamento que não têm a Replicação com Prioridade da Replicação de Objetos ativada,</w:t>
      </w:r>
    </w:p>
    <w:p w14:paraId="0560F000" w14:textId="77777777" w:rsidR="00610081" w:rsidRPr="0089329F" w:rsidRDefault="00610081" w:rsidP="00610081">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Objetos cujo tamanho exceda 5 gigabytes (GB),</w:t>
      </w:r>
    </w:p>
    <w:p w14:paraId="72E3EBB7" w14:textId="77777777" w:rsidR="00610081" w:rsidRPr="0089329F" w:rsidRDefault="00610081" w:rsidP="00610081">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Objetos que são modificados com mais frequência do que 10 vezes por segundo,</w:t>
      </w:r>
    </w:p>
    <w:p w14:paraId="2CD6C2C5" w14:textId="77777777" w:rsidR="00610081" w:rsidRPr="0089329F" w:rsidRDefault="00610081" w:rsidP="00610081">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lastRenderedPageBreak/>
        <w:t>Políticas de Replicação de Objetos em que a Conta de Armazenamento de Origem e a Conta de Armazenamento de Destino não estão no mesmo continente,</w:t>
      </w:r>
    </w:p>
    <w:p w14:paraId="45FAB9A3" w14:textId="77777777" w:rsidR="00610081" w:rsidRPr="00A7322E" w:rsidRDefault="00610081" w:rsidP="00610081">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Contas de armazenamento com (a) mais de 5 petabytes (PB) ou (b) mais de </w:t>
      </w:r>
      <w:r>
        <w:rPr>
          <w:rFonts w:ascii="Calibri" w:eastAsia="Aptos" w:hAnsi="Calibri" w:cs="Calibri"/>
          <w:sz w:val="18"/>
          <w:szCs w:val="18"/>
        </w:rPr>
        <w:t>10 mil milhões de blobs e</w:t>
      </w:r>
    </w:p>
    <w:p w14:paraId="3EB0734A" w14:textId="77777777" w:rsidR="00610081" w:rsidRPr="00A7322E" w:rsidRDefault="00610081" w:rsidP="00610081">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Durante os períodos de tempo em que (a) a taxa de transferência de dados da conta de armazenamento do Cliente ou da Política de Replicação excede 1 gigabit por segundo (Gbps) e o registo de tarefas pendentes resultante está a ser replicado, (b) a conta de armazenamento do Cliente ou a Política de Replicação excede 1000 operações PUT ou DELETE por segundo e o registo de tarefas pendentes resultante está a ser replicado, e (c) a replicação de blobs existente está pendente após uma criação ou atualização recente da Política de Replicação. Estima-se que a replicação de blobs existente progrida a 100 TB por dia, em média, mas pode registar uma velocidade reduzida quando estão presentes blobs com muitas versões.</w:t>
      </w:r>
    </w:p>
    <w:p w14:paraId="243B67E5" w14:textId="77777777" w:rsidR="00610081" w:rsidRPr="00EF7CF9" w:rsidRDefault="00610081" w:rsidP="006100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5CF3AECD" w14:textId="44298EB6" w:rsidR="00C46E27" w:rsidRDefault="00DE1335" w:rsidP="00F01ED6">
      <w:pPr>
        <w:pStyle w:val="ProductList-Offering2Heading"/>
        <w:keepNext/>
        <w:tabs>
          <w:tab w:val="clear" w:pos="360"/>
          <w:tab w:val="clear" w:pos="720"/>
          <w:tab w:val="clear" w:pos="1080"/>
        </w:tabs>
        <w:outlineLvl w:val="2"/>
      </w:pPr>
      <w:bookmarkStart w:id="351" w:name="_Toc214456855"/>
      <w:r>
        <w:t>Azure Operator Service Manager</w:t>
      </w:r>
      <w:bookmarkEnd w:id="351"/>
    </w:p>
    <w:p w14:paraId="648013B5"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Definições Adicionais</w:t>
      </w:r>
      <w:r w:rsidRPr="004C060D">
        <w:rPr>
          <w:rFonts w:ascii="Calibri" w:eastAsia="Calibri" w:hAnsi="Calibri" w:cs="Arial"/>
          <w:b/>
          <w:bCs/>
          <w:color w:val="00188F"/>
          <w:sz w:val="18"/>
          <w:bdr w:val="none" w:sz="0" w:space="0" w:color="auto" w:frame="1"/>
        </w:rPr>
        <w:t>:</w:t>
      </w:r>
    </w:p>
    <w:p w14:paraId="2080F62D"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Honorários dos Serviços Aplicáveis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dos honorários efetivamente pagos pelo Cliente por um Serviço que é aplicado ao Período Aplicável em que um Crédito de Serviço é devido.</w:t>
      </w:r>
    </w:p>
    <w:p w14:paraId="0E70D3A6"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Nível de serviço</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as métricas de desempenho estabelecidas neste SLA que a Microsoft aceita cumprir na prestação dos Serviços.</w:t>
      </w:r>
    </w:p>
    <w:p w14:paraId="19743CBB"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Máximo de Minutos Disponíveis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de minutos acumulados durante um Período Aplicável em que pelo menos um recurso do Azure Operator Service Manager Site Network Service esteve implementado numa Subscrição do Microsoft Azure.</w:t>
      </w:r>
    </w:p>
    <w:p w14:paraId="1B4A98F8"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Período de Indisponibilidade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um minuto é considerado período de indisponibilidade se todas as tentativas contínuas para criar, atualizar ou ver os recursos do serviço durante esse minuto devolverem um Código de Erro ou não devolverem um Código de Êxito no prazo de dois minutos.</w:t>
      </w:r>
    </w:p>
    <w:p w14:paraId="17DB1D11" w14:textId="77777777" w:rsidR="00462263" w:rsidRDefault="00462263" w:rsidP="00462263">
      <w:pPr>
        <w:shd w:val="clear" w:color="auto" w:fill="FFFFFF"/>
        <w:spacing w:after="0" w:line="240" w:lineRule="auto"/>
        <w:textAlignment w:val="baseline"/>
        <w:rPr>
          <w:rFonts w:ascii="Calibri" w:eastAsia="Times New Roman" w:hAnsi="Calibri" w:cs="Calibri"/>
          <w:color w:val="000000"/>
          <w:sz w:val="18"/>
          <w:szCs w:val="18"/>
        </w:rPr>
      </w:pPr>
      <w:r w:rsidRPr="0004526F">
        <w:rPr>
          <w:rFonts w:ascii="Calibri" w:eastAsia="Times New Roman" w:hAnsi="Calibri" w:cs="Calibri"/>
          <w:color w:val="000000"/>
          <w:sz w:val="18"/>
          <w:szCs w:val="18"/>
        </w:rPr>
        <w:t xml:space="preserve">A </w:t>
      </w: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Percentagem de Período de 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para o Azure Operator Service Manager é calculada como o Máximo de Minutos Disponíveis menos o Período de Indisponibilidade, dividido pelo Máximo de Minutos Disponíveis num Período Aplicável. A Percentagem de Período de Disponibilidade é calculada por região e é representada pela seguinte fórmula:</w:t>
      </w:r>
    </w:p>
    <w:p w14:paraId="5534A392" w14:textId="77777777" w:rsidR="00462263" w:rsidRPr="00462263" w:rsidRDefault="00462263" w:rsidP="00110FE2">
      <w:pPr>
        <w:shd w:val="clear" w:color="auto" w:fill="FFFFFF"/>
        <w:spacing w:before="240" w:after="240" w:line="240" w:lineRule="auto"/>
        <w:jc w:val="center"/>
        <w:rPr>
          <w:rFonts w:ascii="Cambria Math" w:eastAsia="Times New Roman" w:hAnsi="Cambria Math" w:cs="Calibri"/>
          <w:i/>
          <w:color w:val="000000"/>
          <w:sz w:val="18"/>
          <w:szCs w:val="18"/>
        </w:rPr>
      </w:pPr>
      <w:r w:rsidRPr="00462263">
        <w:rPr>
          <w:rFonts w:ascii="Cambria Math" w:eastAsia="Times New Roman" w:hAnsi="Cambria Math" w:cs="Calibri"/>
          <w:i/>
          <w:color w:val="000000"/>
          <w:sz w:val="18"/>
          <w:szCs w:val="18"/>
          <w:bdr w:val="none" w:sz="0" w:space="0" w:color="auto" w:frame="1"/>
        </w:rPr>
        <w:t>% de Período de Disponibilidade Mensal = (Máximo de Minutos Disponíveis−Tempo de Inatividade)/Máximo de Minutos Disponíveis x 100</w:t>
      </w:r>
    </w:p>
    <w:p w14:paraId="01F2C9CC" w14:textId="77777777" w:rsidR="00462263"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Serviço</w:t>
      </w:r>
      <w:r w:rsidRPr="004C060D">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62263" w:rsidRPr="00CF77C2" w14:paraId="67B0A3B2"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A3447D0"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22B3D2F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462263" w:rsidRPr="00CF77C2" w14:paraId="0C3BACA9"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E84C152"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5F968F1"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462263" w:rsidRPr="00CF77C2" w14:paraId="77C3C5DC"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5B915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BE33DBA"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7543E0C"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Exceções de Nível de Serviço</w:t>
      </w:r>
      <w:r w:rsidRPr="004C060D">
        <w:rPr>
          <w:rFonts w:ascii="Calibri" w:eastAsia="Calibri" w:hAnsi="Calibri" w:cs="Arial"/>
          <w:b/>
          <w:bCs/>
          <w:color w:val="00188F"/>
          <w:sz w:val="18"/>
          <w:bdr w:val="none" w:sz="0" w:space="0" w:color="auto" w:frame="1"/>
        </w:rPr>
        <w:t>:</w:t>
      </w:r>
    </w:p>
    <w:p w14:paraId="55DD3244"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Problemas de desempenho ou disponibilidade que resultam do seguinte </w:t>
      </w:r>
    </w:p>
    <w:p w14:paraId="21DE47BA" w14:textId="77777777" w:rsidR="00462263" w:rsidRPr="00FE394E"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6772690F" w14:textId="77777777" w:rsidR="00462263"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As tentativas por parte do Cliente para executar operações que excedam as quotas indicadas ou resultantes da limitação por parte da Microsoft de comportamento abusivo suspeito.</w:t>
      </w:r>
    </w:p>
    <w:p w14:paraId="4C6772F5" w14:textId="77777777" w:rsidR="00AD6CDF" w:rsidRPr="00CF77C2" w:rsidRDefault="00AD6CDF" w:rsidP="00AD6CD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Índice" w:history="1">
        <w:r>
          <w:rPr>
            <w:rStyle w:val="Hyperlink"/>
            <w:rFonts w:ascii="Calibri" w:hAnsi="Calibri" w:cs="Calibri"/>
            <w:sz w:val="16"/>
            <w:szCs w:val="16"/>
          </w:rPr>
          <w:t>Índice</w:t>
        </w:r>
      </w:hyperlink>
      <w:r>
        <w:rPr>
          <w:rFonts w:ascii="Calibri" w:hAnsi="Calibri" w:cs="Calibri"/>
          <w:sz w:val="16"/>
          <w:szCs w:val="16"/>
        </w:rPr>
        <w:t xml:space="preserve"> / </w:t>
      </w:r>
      <w:r>
        <w:fldChar w:fldCharType="begin"/>
      </w:r>
      <w:r>
        <w:instrText>HYPERLINK \l "Definições" \o "Definições"</w:instrText>
      </w:r>
      <w:r>
        <w:fldChar w:fldCharType="separate"/>
      </w:r>
      <w:r>
        <w:rPr>
          <w:rStyle w:val="Hyperlink"/>
          <w:rFonts w:ascii="Calibri" w:hAnsi="Calibri" w:cs="Calibri"/>
          <w:sz w:val="16"/>
          <w:szCs w:val="16"/>
        </w:rPr>
        <w:t>Definições</w:t>
      </w:r>
      <w:r>
        <w:fldChar w:fldCharType="end"/>
      </w:r>
    </w:p>
    <w:p w14:paraId="4F4794A3" w14:textId="6D046716" w:rsidR="000146AE" w:rsidRPr="000146AE" w:rsidRDefault="000146AE" w:rsidP="00F01ED6">
      <w:pPr>
        <w:pStyle w:val="ProductList-Offering2Heading"/>
        <w:keepNext/>
        <w:tabs>
          <w:tab w:val="clear" w:pos="360"/>
          <w:tab w:val="clear" w:pos="720"/>
          <w:tab w:val="clear" w:pos="1080"/>
        </w:tabs>
        <w:outlineLvl w:val="2"/>
      </w:pPr>
      <w:bookmarkStart w:id="352" w:name="_Toc214456856"/>
      <w:r>
        <w:t>Estação Terrestre do Azure Orbital</w:t>
      </w:r>
      <w:bookmarkEnd w:id="352"/>
    </w:p>
    <w:p w14:paraId="081E007E" w14:textId="77777777" w:rsidR="000146AE" w:rsidRPr="000146AE" w:rsidRDefault="000146AE" w:rsidP="00F01ED6">
      <w:pPr>
        <w:pStyle w:val="ProductList-Body"/>
        <w:keepNext/>
        <w:rPr>
          <w:b/>
          <w:bCs/>
          <w:color w:val="00188F"/>
        </w:rPr>
      </w:pPr>
      <w:r>
        <w:rPr>
          <w:b/>
          <w:bCs/>
          <w:color w:val="00188F"/>
        </w:rPr>
        <w:t>Definições Adicionais</w:t>
      </w:r>
    </w:p>
    <w:p w14:paraId="1AABB734" w14:textId="77777777" w:rsidR="004A561E" w:rsidRPr="00A02980" w:rsidRDefault="004A561E" w:rsidP="004A561E">
      <w:pPr>
        <w:tabs>
          <w:tab w:val="left" w:pos="360"/>
          <w:tab w:val="left" w:pos="720"/>
          <w:tab w:val="left" w:pos="1080"/>
        </w:tabs>
        <w:spacing w:after="0" w:line="240" w:lineRule="auto"/>
        <w:rPr>
          <w:rFonts w:ascii="Calibri" w:eastAsia="Calibri" w:hAnsi="Calibri" w:cs="Calibri"/>
          <w:sz w:val="18"/>
          <w:szCs w:val="18"/>
        </w:rPr>
      </w:pPr>
      <w:r w:rsidRPr="00A02980">
        <w:rPr>
          <w:rFonts w:ascii="Calibri" w:hAnsi="Calibri" w:cs="Calibri"/>
          <w:sz w:val="18"/>
          <w:szCs w:val="18"/>
        </w:rPr>
        <w:t xml:space="preserve">O </w:t>
      </w:r>
      <w:r w:rsidRPr="00A02980">
        <w:rPr>
          <w:rFonts w:ascii="Calibri" w:eastAsia="Calibri" w:hAnsi="Calibri" w:cs="Calibri"/>
          <w:sz w:val="18"/>
          <w:szCs w:val="18"/>
        </w:rPr>
        <w:t>“</w:t>
      </w:r>
      <w:r w:rsidRPr="00A02980">
        <w:rPr>
          <w:rFonts w:ascii="Calibri" w:eastAsia="Calibri" w:hAnsi="Calibri" w:cs="Calibri"/>
          <w:b/>
          <w:bCs/>
          <w:color w:val="00188F"/>
          <w:sz w:val="18"/>
          <w:szCs w:val="18"/>
        </w:rPr>
        <w:t>Serviço Estação Terrestre do Azure Orbital</w:t>
      </w:r>
      <w:r w:rsidRPr="00A02980">
        <w:rPr>
          <w:rFonts w:ascii="Calibri" w:eastAsia="Calibri" w:hAnsi="Calibri" w:cs="Calibri"/>
          <w:sz w:val="18"/>
          <w:szCs w:val="18"/>
        </w:rPr>
        <w:t>” é um serviço de estação terrestre totalmente gerido que oferece conectividade de baixa latência a partir de satélites do cliente em órbita com a cloud do Microsoft Azure. Para efeitos do presente SLA, o serviço inclui a conectividade apenas às estações terrestres que sejam propriedade e operadas pela Microsoft, e não as estações terrestres que sejam propriedade ou operadas por fornecedores de estações terrestres de terceiros que os clientes configuram para trabalhar com o Serviço Estação Terrestre do Azure Orbital.</w:t>
      </w:r>
    </w:p>
    <w:p w14:paraId="402ACEE9"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Agendado</w:t>
      </w:r>
      <w:r>
        <w:rPr>
          <w:rFonts w:ascii="Calibri" w:eastAsia="Calibri" w:hAnsi="Calibri" w:cs="Calibri"/>
          <w:sz w:val="18"/>
          <w:szCs w:val="18"/>
        </w:rPr>
        <w:t>” é o momento em que uma ligação entre uma Estação Terrestre do Azure Orbital detida e operada pela Microsoft, e o satélite do cliente foi solicitada pelo cliente (através do Portal do Azure ou da API), e confirmada como agendada pela Microsoft (ou sejam o estado do contacto pedido mostra “Agendado” no Portal do Azure ou na interface da API).</w:t>
      </w:r>
    </w:p>
    <w:p w14:paraId="3F6BC26B"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Período de Indisponibilidade</w:t>
      </w:r>
      <w:r>
        <w:rPr>
          <w:rFonts w:ascii="Calibri" w:eastAsia="Calibri" w:hAnsi="Calibri" w:cs="Calibri"/>
          <w:sz w:val="18"/>
          <w:szCs w:val="18"/>
        </w:rPr>
        <w:t>” designa o tempo durante um Contacto Agendado em que o cliente não consegue transmitir dados de ponto a ponto para ou a partir dos satélites do cliente para o ponto final da rede virtual do cliente em Azure, em qualquer dos casos devido a uma falha especificamente atribuível ao Serviço Estação Terrestre do Azure Orbital, ou ao cancelamento de um Contacto Agendado confirmado anteriormente (conforme indicado pelo campo ContactsStatus que muda de “agendado” para “com falhas” ou “providerCancelled”).</w:t>
      </w:r>
    </w:p>
    <w:p w14:paraId="5649A0D0" w14:textId="77777777" w:rsidR="004A561E" w:rsidRPr="008B7B5F" w:rsidRDefault="004A561E" w:rsidP="00263D02">
      <w:pPr>
        <w:tabs>
          <w:tab w:val="left" w:pos="360"/>
          <w:tab w:val="left" w:pos="720"/>
          <w:tab w:val="left" w:pos="1080"/>
        </w:tabs>
        <w:spacing w:before="60" w:after="0" w:line="240" w:lineRule="auto"/>
        <w:rPr>
          <w:rFonts w:ascii="Calibri" w:eastAsia="Calibri" w:hAnsi="Calibri" w:cs="Calibri"/>
          <w:sz w:val="18"/>
          <w:szCs w:val="18"/>
        </w:rPr>
      </w:pPr>
      <w:r>
        <w:rPr>
          <w:rFonts w:ascii="Calibri" w:eastAsia="Calibri" w:hAnsi="Calibri" w:cs="Calibri"/>
          <w:sz w:val="18"/>
          <w:szCs w:val="18"/>
        </w:rPr>
        <w:lastRenderedPageBreak/>
        <w:t>O Período de Indisponibilidade não inclui qualquer tempo durante um Contacto Agendado quando o cliente não consegue transmitir dados ponto a ponto devido a (i) quaisquer circunstâncias com falhas ao abrigo das Exceções de Nível de Serviço abaixo; ou (ii) quaisquer circunstâncias que impeçam o Serviço Estação Terrestre do Azure Orbital de confirmar um contacto pedido como um Contacto Agendado. Para efeitos do Serviço Estação Terrestre do Azure Orbital, Período de Indisponibilidade não inclui o Período de Indisponibilidade Agendado atribuível à manutenção ou a reparações dos locais do Serviço Estação Terrestre do Azure Orbital.</w:t>
      </w:r>
    </w:p>
    <w:p w14:paraId="00C06FD3"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Exceções de Nível de Serviço</w:t>
      </w:r>
      <w:r w:rsidRPr="007A41A5">
        <w:rPr>
          <w:rFonts w:ascii="Calibri" w:eastAsia="Calibri" w:hAnsi="Calibri" w:cs="Calibri"/>
          <w:b/>
          <w:bCs/>
          <w:sz w:val="18"/>
          <w:szCs w:val="18"/>
        </w:rPr>
        <w:t>:</w:t>
      </w:r>
    </w:p>
    <w:p w14:paraId="718E92C5" w14:textId="77777777" w:rsidR="004A561E" w:rsidRPr="008B7B5F" w:rsidRDefault="004A561E" w:rsidP="004A561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desempenho ou disponibilidade que resultam do seguinte</w:t>
      </w:r>
    </w:p>
    <w:p w14:paraId="05A1745A" w14:textId="77777777" w:rsidR="004A561E" w:rsidRPr="008B7B5F" w:rsidRDefault="004A561E" w:rsidP="004A561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Restrições ou limitações impostas à licença de exploração do veículo espacial do cliente por um órgão regulador ou agência governamental.</w:t>
      </w:r>
    </w:p>
    <w:p w14:paraId="1DF94530" w14:textId="77777777" w:rsidR="004A561E" w:rsidRPr="008B7B5F" w:rsidRDefault="004A561E" w:rsidP="004A56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 utilização dos serviços, hardware ou software não fornecido pela Microsoft, incluindo, entre outros, os problemas resultantes de uma largura de banda inadequada, ou relacionados com software ou serviços de terceiros.</w:t>
      </w:r>
    </w:p>
    <w:p w14:paraId="7EE00785" w14:textId="77777777" w:rsidR="004A561E" w:rsidRPr="00322290" w:rsidRDefault="004A561E" w:rsidP="004A56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incumprimento por parte do Cliente de quaisquer configurações obrigatórias, a utilização das plataformas suportadas, o seguimento de quaisquer políticas de utilização aceitável ou a utilização do Serviço Estação Terrestre do Azure Orbital de uma forma inconsistente com as suas funções e funcionalidades (por exemplo, tentativas de execução de operações que não sejam suportadas expressamente) ou inconsistente com a nossa documentação ou instruções publicadas.</w:t>
      </w:r>
    </w:p>
    <w:p w14:paraId="19F8C18A" w14:textId="4793B65D" w:rsidR="000146AE" w:rsidRPr="000146AE" w:rsidRDefault="000146AE" w:rsidP="00F01ED6">
      <w:pPr>
        <w:pStyle w:val="ProductList-Body"/>
        <w:spacing w:before="120"/>
        <w:rPr>
          <w:b/>
          <w:bCs/>
          <w:color w:val="00188F"/>
        </w:rPr>
      </w:pPr>
      <w:r>
        <w:rPr>
          <w:b/>
          <w:bCs/>
          <w:color w:val="00188F"/>
        </w:rPr>
        <w:t>Níveis de Serviço e Cálculo da Percentagem de Contactos Com Êxito</w:t>
      </w:r>
    </w:p>
    <w:p w14:paraId="77258D37" w14:textId="1E603468" w:rsidR="000146AE" w:rsidRDefault="000146AE" w:rsidP="00F01ED6">
      <w:pPr>
        <w:pStyle w:val="ProductList-Body"/>
      </w:pPr>
      <w:r>
        <w:t xml:space="preserve">A </w:t>
      </w:r>
      <w:r w:rsidR="00380305">
        <w:t>“</w:t>
      </w:r>
      <w:r>
        <w:rPr>
          <w:b/>
          <w:bCs/>
          <w:color w:val="00188F"/>
        </w:rPr>
        <w:t>Percentagem de Contactos Com Êxito</w:t>
      </w:r>
      <w:r w:rsidR="00380305">
        <w:t>”</w:t>
      </w:r>
      <w:r>
        <w:t xml:space="preserve"> é calculada como o total de minutos do Contacto Agendado menos os minutos de Período de Indisponibilidade, dividido pelo total de minutos do Contacto Agendado. É representado pela seguinte fórmula:</w:t>
      </w:r>
    </w:p>
    <w:p w14:paraId="0A64C922" w14:textId="091AD38C" w:rsidR="00A860B2" w:rsidRPr="00EF7CF9" w:rsidRDefault="00000000" w:rsidP="00AB6E4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do Contacto Agendado-Minutos de Período de Indisponibilidade</m:t>
              </m:r>
            </m:num>
            <m:den>
              <m:r>
                <m:rPr>
                  <m:nor/>
                </m:rPr>
                <w:rPr>
                  <w:rFonts w:ascii="Cambria Math" w:hAnsi="Cambria Math" w:cs="Tahoma"/>
                  <w:i/>
                  <w:sz w:val="18"/>
                  <w:szCs w:val="18"/>
                </w:rPr>
                <m:t>Total de Minutos do Contacto Agendado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4F57492B" w:rsidR="000146AE" w:rsidRPr="00482531" w:rsidRDefault="000146AE" w:rsidP="004A561E">
      <w:pPr>
        <w:pStyle w:val="ProductList-Body"/>
        <w:keepNext/>
        <w:keepLines/>
        <w:widowControl w:val="0"/>
        <w:rPr>
          <w:b/>
          <w:bCs/>
          <w:color w:val="00188F"/>
        </w:rPr>
      </w:pPr>
      <w:r>
        <w:rPr>
          <w:b/>
          <w:bCs/>
          <w:color w:val="00188F"/>
        </w:rPr>
        <w:t>Os seguintes Níveis de Serviço e Créditos de Serviço são aplicáveis ao Serviço Estação Terrestre do Azure Orbital para os Honorários dos Serviços Aplicáveis: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F01ED6">
            <w:pPr>
              <w:pStyle w:val="ProductList-OfferingBody"/>
              <w:jc w:val="center"/>
              <w:rPr>
                <w:color w:val="FFFFFF" w:themeColor="background1"/>
              </w:rPr>
            </w:pPr>
            <w:r>
              <w:rPr>
                <w:color w:val="FFFFFF" w:themeColor="background1"/>
              </w:rPr>
              <w:t>Percentagem de Contactos Com Êxito</w:t>
            </w:r>
          </w:p>
        </w:tc>
        <w:tc>
          <w:tcPr>
            <w:tcW w:w="5400" w:type="dxa"/>
            <w:shd w:val="clear" w:color="auto" w:fill="0072C6"/>
          </w:tcPr>
          <w:p w14:paraId="4B717705" w14:textId="77777777" w:rsidR="00482531" w:rsidRPr="00EF7CF9" w:rsidRDefault="00482531" w:rsidP="00F01ED6">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277097">
        <w:tc>
          <w:tcPr>
            <w:tcW w:w="5400" w:type="dxa"/>
          </w:tcPr>
          <w:p w14:paraId="3E143ED3" w14:textId="77777777" w:rsidR="00482531" w:rsidRPr="00EF7CF9" w:rsidRDefault="00482531" w:rsidP="00F01ED6">
            <w:pPr>
              <w:pStyle w:val="ProductList-OfferingBody"/>
              <w:jc w:val="center"/>
            </w:pPr>
            <w:r>
              <w:t>&lt; 99,9%</w:t>
            </w:r>
          </w:p>
        </w:tc>
        <w:tc>
          <w:tcPr>
            <w:tcW w:w="5400" w:type="dxa"/>
          </w:tcPr>
          <w:p w14:paraId="29BAF580" w14:textId="77777777" w:rsidR="00482531" w:rsidRPr="00EF7CF9" w:rsidRDefault="00482531" w:rsidP="00F01ED6">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F01ED6">
            <w:pPr>
              <w:pStyle w:val="ProductList-OfferingBody"/>
              <w:jc w:val="center"/>
            </w:pPr>
            <w:r>
              <w:t>&lt; 98%</w:t>
            </w:r>
          </w:p>
        </w:tc>
        <w:tc>
          <w:tcPr>
            <w:tcW w:w="5400" w:type="dxa"/>
          </w:tcPr>
          <w:p w14:paraId="5BBB0BBA" w14:textId="77777777" w:rsidR="00482531" w:rsidRPr="00EF7CF9" w:rsidRDefault="00482531" w:rsidP="00F01ED6">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F01ED6">
            <w:pPr>
              <w:pStyle w:val="ProductList-OfferingBody"/>
              <w:jc w:val="center"/>
            </w:pPr>
            <w:r>
              <w:t>&lt; 95%</w:t>
            </w:r>
          </w:p>
        </w:tc>
        <w:tc>
          <w:tcPr>
            <w:tcW w:w="5400" w:type="dxa"/>
          </w:tcPr>
          <w:p w14:paraId="1B983005" w14:textId="77777777" w:rsidR="00482531" w:rsidRPr="00EF7CF9" w:rsidRDefault="00482531" w:rsidP="00F01ED6">
            <w:pPr>
              <w:pStyle w:val="ProductList-OfferingBody"/>
              <w:jc w:val="center"/>
            </w:pPr>
            <w:r>
              <w:t>100%</w:t>
            </w:r>
          </w:p>
        </w:tc>
      </w:tr>
    </w:tbl>
    <w:p w14:paraId="07D58BA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81FC915" w14:textId="77777777" w:rsidR="00F03F61" w:rsidRPr="00AB73C5" w:rsidRDefault="00F03F61" w:rsidP="00F03F61">
      <w:pPr>
        <w:pStyle w:val="ProductList-Offering2Heading"/>
        <w:keepNext/>
        <w:tabs>
          <w:tab w:val="clear" w:pos="360"/>
          <w:tab w:val="clear" w:pos="720"/>
          <w:tab w:val="clear" w:pos="1080"/>
        </w:tabs>
        <w:outlineLvl w:val="2"/>
      </w:pPr>
      <w:bookmarkStart w:id="353" w:name="_Toc214456857"/>
      <w:r w:rsidRPr="00AB73C5">
        <w:t>Microsoft Playwright Testing</w:t>
      </w:r>
      <w:bookmarkEnd w:id="353"/>
    </w:p>
    <w:p w14:paraId="6672018B" w14:textId="77777777" w:rsidR="00F03F61" w:rsidRPr="00FD37EB" w:rsidRDefault="00F03F61" w:rsidP="00F03F61">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Definições Adicionais</w:t>
      </w:r>
    </w:p>
    <w:p w14:paraId="3EB2264F"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Arial"/>
          <w:b/>
          <w:bCs/>
          <w:color w:val="00188F"/>
          <w:sz w:val="18"/>
        </w:rPr>
        <w:t>Minutos de Implementação</w:t>
      </w:r>
      <w:r w:rsidRPr="000B56CC">
        <w:rPr>
          <w:rFonts w:ascii="Calibri" w:eastAsia="Calibri" w:hAnsi="Calibri" w:cs="Arial"/>
          <w:color w:val="00188F"/>
          <w:sz w:val="18"/>
        </w:rPr>
        <w:t>”</w:t>
      </w:r>
      <w:r>
        <w:rPr>
          <w:rFonts w:ascii="Calibri" w:eastAsia="Calibri" w:hAnsi="Calibri" w:cs="Arial"/>
          <w:sz w:val="18"/>
        </w:rPr>
        <w:t xml:space="preserve"> designa o número total de minutos durante os quais um determinado recurso do Serviço Microsoft Playwright Testing foi implementado no Microsoft Azure durante um Período Aplicável.</w:t>
      </w:r>
    </w:p>
    <w:p w14:paraId="5374855B"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Arial"/>
          <w:b/>
          <w:bCs/>
          <w:color w:val="00188F"/>
          <w:sz w:val="18"/>
        </w:rPr>
        <w:t>Máximo de Minutos Disponíveis</w:t>
      </w:r>
      <w:r w:rsidRPr="000B56CC">
        <w:rPr>
          <w:rFonts w:ascii="Calibri" w:eastAsia="Calibri" w:hAnsi="Calibri" w:cs="Arial"/>
          <w:color w:val="00188F"/>
          <w:sz w:val="18"/>
        </w:rPr>
        <w:t>”</w:t>
      </w:r>
      <w:r>
        <w:rPr>
          <w:rFonts w:ascii="Calibri" w:eastAsia="Calibri" w:hAnsi="Calibri" w:cs="Arial"/>
          <w:sz w:val="18"/>
        </w:rPr>
        <w:t xml:space="preserve"> designa a soma de todos os Minutos de Implementação em todos os Recursos do Serviço Microsoft Playwright Testing implementados pelos clientes numa determinada subscrição do Microsoft Azure durante um Período Aplicável.</w:t>
      </w:r>
    </w:p>
    <w:p w14:paraId="382CDA09"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Arial"/>
          <w:b/>
          <w:bCs/>
          <w:color w:val="00188F"/>
          <w:sz w:val="18"/>
        </w:rPr>
        <w:t>Período de Indisponibilidade</w:t>
      </w:r>
      <w:r w:rsidRPr="000B56CC">
        <w:rPr>
          <w:rFonts w:ascii="Calibri" w:eastAsia="Calibri" w:hAnsi="Calibri" w:cs="Arial"/>
          <w:color w:val="00188F"/>
          <w:sz w:val="18"/>
        </w:rPr>
        <w:t>”</w:t>
      </w:r>
      <w:r>
        <w:rPr>
          <w:rFonts w:ascii="Calibri" w:eastAsia="Calibri" w:hAnsi="Calibri" w:cs="Arial"/>
          <w:sz w:val="18"/>
        </w:rPr>
        <w:t xml:space="preserve"> designa a soma de todos os Minutos de Implementação em todos os Recursos do Serviço Microsoft Playwright Testing implementados pelo Cliente numa determinada subscrição do Microsoft Azure durante um Período Aplicável durante o qual o Recurso Microsoft Playwright Testing está indisponível. Um minuto é considerado indisponível para um determinado Serviço se todos os pedidos de HTTP contínuos para executar operações nesse minuto resultarem num Código de Erro ou se não devolverem uma resposta ao fim de 5 minutos.</w:t>
      </w:r>
    </w:p>
    <w:p w14:paraId="2BB56D47" w14:textId="77777777" w:rsidR="00F03F61" w:rsidRPr="00FD37EB" w:rsidRDefault="00F03F61" w:rsidP="00F03F61">
      <w:pPr>
        <w:tabs>
          <w:tab w:val="left" w:pos="360"/>
          <w:tab w:val="left" w:pos="720"/>
          <w:tab w:val="left" w:pos="1080"/>
        </w:tabs>
        <w:spacing w:after="0" w:line="240" w:lineRule="auto"/>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Times New Roman"/>
          <w:b/>
          <w:bCs/>
          <w:color w:val="00188F"/>
          <w:sz w:val="18"/>
        </w:rPr>
        <w:t>Percentagem de Período de Disponibilidade</w:t>
      </w:r>
      <w:r w:rsidRPr="000B56CC">
        <w:rPr>
          <w:rFonts w:ascii="Calibri" w:eastAsia="Calibri" w:hAnsi="Calibri" w:cs="Arial"/>
          <w:color w:val="00188F"/>
          <w:sz w:val="18"/>
        </w:rPr>
        <w:t>”</w:t>
      </w:r>
      <w:r>
        <w:rPr>
          <w:rFonts w:ascii="Calibri" w:eastAsia="Calibri" w:hAnsi="Calibri" w:cs="Times New Roman"/>
          <w:sz w:val="18"/>
        </w:rPr>
        <w:t xml:space="preserve"> A Percentagem de Período de Disponibilidade é calculada com a seguinte fórmula:</w:t>
      </w:r>
    </w:p>
    <w:p w14:paraId="02C5B1F2" w14:textId="77777777" w:rsidR="00F03F61" w:rsidRPr="00724825" w:rsidRDefault="00000000" w:rsidP="00F0760D">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5483B3F" w14:textId="77777777" w:rsidR="00F03F61" w:rsidRPr="00FD37EB" w:rsidRDefault="00F03F61" w:rsidP="00F03F61">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Os seguintes Níveis de Serviço e Crédito de Serviço são aplicáveis à utilização do Microsoft Playwright Testing por parte do Cliente: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03F61" w:rsidRPr="00FD37EB" w14:paraId="1587D110"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F15D1C7"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Percentagem de Período de Disponibilidade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31DB3CF"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Crédito de Serviço</w:t>
            </w:r>
          </w:p>
        </w:tc>
      </w:tr>
      <w:tr w:rsidR="00F03F61" w:rsidRPr="00FD37EB" w14:paraId="6452D105"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66C0385"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8CFBB57"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F03F61" w:rsidRPr="00FD37EB" w14:paraId="0D8073FA"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829938B"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4E0E1675"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279071E6" w14:textId="77777777" w:rsidR="00AB73C5" w:rsidRPr="00EF7CF9" w:rsidRDefault="00AB73C5" w:rsidP="00AB73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95B2E84" w14:textId="29756DF1" w:rsidR="00995A2A" w:rsidRPr="00995A2A" w:rsidRDefault="00995A2A" w:rsidP="003E44BF">
      <w:pPr>
        <w:pStyle w:val="ProductList-Offering2Heading"/>
        <w:keepNext/>
        <w:tabs>
          <w:tab w:val="clear" w:pos="360"/>
          <w:tab w:val="clear" w:pos="720"/>
          <w:tab w:val="clear" w:pos="1080"/>
        </w:tabs>
        <w:outlineLvl w:val="2"/>
      </w:pPr>
      <w:bookmarkStart w:id="354" w:name="_Toc214456858"/>
      <w:r>
        <w:t>Azure Private Link</w:t>
      </w:r>
      <w:bookmarkEnd w:id="354"/>
    </w:p>
    <w:p w14:paraId="4A145F82" w14:textId="77777777" w:rsidR="00995A2A" w:rsidRPr="00995A2A" w:rsidRDefault="00995A2A" w:rsidP="00F01ED6">
      <w:pPr>
        <w:pStyle w:val="ProductList-Body"/>
        <w:rPr>
          <w:b/>
          <w:bCs/>
          <w:color w:val="00188F"/>
        </w:rPr>
      </w:pPr>
      <w:r>
        <w:rPr>
          <w:b/>
          <w:bCs/>
          <w:color w:val="00188F"/>
        </w:rPr>
        <w:t>Definições Adicionais</w:t>
      </w:r>
    </w:p>
    <w:p w14:paraId="0AA0EB1A" w14:textId="3C88C33E" w:rsidR="00995A2A" w:rsidRDefault="00995A2A" w:rsidP="00F01ED6">
      <w:pPr>
        <w:pStyle w:val="ProductList-Body"/>
      </w:pPr>
      <w:r>
        <w:t xml:space="preserve">O </w:t>
      </w:r>
      <w:r w:rsidR="00380305">
        <w:t>“</w:t>
      </w:r>
      <w:r>
        <w:rPr>
          <w:b/>
          <w:bCs/>
          <w:color w:val="00188F"/>
        </w:rPr>
        <w:t>Azure Private Link Service</w:t>
      </w:r>
      <w:r w:rsidR="00380305">
        <w:t>”</w:t>
      </w:r>
      <w:r>
        <w:t xml:space="preserve"> é a referência ao próprio serviço do Utilizador que está ativado para o Azure Private Link e implementado na própria rede virtual do Utilizador.</w:t>
      </w:r>
    </w:p>
    <w:p w14:paraId="612ECF73" w14:textId="785B8ED9" w:rsidR="00995A2A" w:rsidRDefault="00995A2A" w:rsidP="00F01ED6">
      <w:pPr>
        <w:pStyle w:val="ProductList-Body"/>
      </w:pPr>
      <w:r>
        <w:lastRenderedPageBreak/>
        <w:t xml:space="preserve">O </w:t>
      </w:r>
      <w:r w:rsidR="00380305">
        <w:t>“</w:t>
      </w:r>
      <w:r>
        <w:rPr>
          <w:b/>
          <w:bCs/>
          <w:color w:val="00188F"/>
        </w:rPr>
        <w:t>Azure Private Endpoint</w:t>
      </w:r>
      <w:r w:rsidR="00380305">
        <w:t>”</w:t>
      </w:r>
      <w:r>
        <w:t xml:space="preserve"> é uma interface de rede que liga o serviço ativado para Azure Private Link do Utilizador a um endereço IP privado na rede virtual do Utilizador.</w:t>
      </w:r>
    </w:p>
    <w:p w14:paraId="3AC93B4D" w14:textId="45542685" w:rsidR="00995A2A" w:rsidRPr="00995A2A" w:rsidRDefault="00EE6E3C" w:rsidP="00F01ED6">
      <w:pPr>
        <w:pStyle w:val="ProductList-Body"/>
        <w:spacing w:before="120"/>
        <w:rPr>
          <w:b/>
          <w:bCs/>
          <w:color w:val="00188F"/>
        </w:rPr>
      </w:pPr>
      <w:r>
        <w:rPr>
          <w:b/>
          <w:bCs/>
          <w:color w:val="00188F"/>
        </w:rPr>
        <w:t>Cálculo do Período de Disponibilidade</w:t>
      </w:r>
    </w:p>
    <w:p w14:paraId="54F4DAFA" w14:textId="044CE191" w:rsidR="00995A2A" w:rsidRDefault="00380305" w:rsidP="00F01ED6">
      <w:pPr>
        <w:pStyle w:val="ProductList-Body"/>
      </w:pPr>
      <w:r>
        <w:t>“</w:t>
      </w:r>
      <w:r w:rsidR="00995A2A">
        <w:rPr>
          <w:b/>
          <w:bCs/>
          <w:color w:val="00188F"/>
        </w:rPr>
        <w:t>Máximo de Minutos Disponíveis</w:t>
      </w:r>
      <w:r>
        <w:t>”</w:t>
      </w:r>
      <w:r w:rsidR="00995A2A">
        <w:t xml:space="preserve"> designa o total de minutos acumulados num Período Aplicável, durante o qual o Azure Private Link Service ou o</w:t>
      </w:r>
      <w:r w:rsidR="009B2B26">
        <w:t> </w:t>
      </w:r>
      <w:r w:rsidR="00995A2A">
        <w:t>Azure Private Endpoint esteve implementado numa subscrição do Microsoft Azure.</w:t>
      </w:r>
    </w:p>
    <w:p w14:paraId="16DCB845" w14:textId="4A6711A9" w:rsidR="00995A2A" w:rsidRDefault="00380305" w:rsidP="00F01ED6">
      <w:pPr>
        <w:pStyle w:val="ProductList-Body"/>
      </w:pPr>
      <w:r>
        <w:t>“</w:t>
      </w:r>
      <w:r w:rsidR="00995A2A">
        <w:rPr>
          <w:b/>
          <w:bCs/>
          <w:color w:val="00188F"/>
        </w:rPr>
        <w:t>Período de Indisponibilidade</w:t>
      </w:r>
      <w:r>
        <w:t>”</w:t>
      </w:r>
      <w:r w:rsidR="00995A2A">
        <w:t xml:space="preserve"> é o total acumulado de Máximo de Minutos Disponíveis num Período Aplicável para um determinado Azure Private Link Service ou Azure Private Endpoint durante o qual o Azure Private Link Service ou Azure Private Endpoint está indisponível. Um determinado minuto é considerado indisponível se todas as tentativas de ligação através do Azure Private Endpoint durante o minuto falharem.</w:t>
      </w:r>
    </w:p>
    <w:p w14:paraId="1181CDBC" w14:textId="337CBFFD" w:rsidR="00995A2A" w:rsidRDefault="00380305" w:rsidP="00F01ED6">
      <w:pPr>
        <w:pStyle w:val="ProductList-Body"/>
      </w:pPr>
      <w:r>
        <w:t>“</w:t>
      </w:r>
      <w:r w:rsidR="00995A2A">
        <w:rPr>
          <w:b/>
          <w:bCs/>
          <w:color w:val="00188F"/>
        </w:rPr>
        <w:t>Percentagem de Período de Disponibilidade</w:t>
      </w:r>
      <w:r>
        <w:t>”</w:t>
      </w:r>
      <w:r w:rsidR="00995A2A">
        <w:t xml:space="preserve"> A Percentagem de Período de Disponibilidade é calculada utilizando a seguinte fórmula:</w:t>
      </w:r>
    </w:p>
    <w:p w14:paraId="7F689305" w14:textId="1BB09DDF" w:rsidR="00995A2A" w:rsidRPr="00EF7CF9" w:rsidRDefault="00000000" w:rsidP="00F076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76AAB3D" w14:textId="77777777" w:rsidR="00995A2A" w:rsidRPr="005A3C16" w:rsidRDefault="00995A2A" w:rsidP="00F01ED6">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277097">
        <w:tc>
          <w:tcPr>
            <w:tcW w:w="5400" w:type="dxa"/>
          </w:tcPr>
          <w:p w14:paraId="7B7E7489" w14:textId="40A57C82" w:rsidR="00995A2A" w:rsidRPr="005A3C16" w:rsidRDefault="00995A2A" w:rsidP="00F01ED6">
            <w:pPr>
              <w:pStyle w:val="ProductList-OfferingBody"/>
              <w:jc w:val="center"/>
            </w:pPr>
            <w:r>
              <w:t>&lt; 99,99%</w:t>
            </w:r>
          </w:p>
        </w:tc>
        <w:tc>
          <w:tcPr>
            <w:tcW w:w="5400" w:type="dxa"/>
          </w:tcPr>
          <w:p w14:paraId="3D4997BE" w14:textId="77777777" w:rsidR="00995A2A" w:rsidRPr="005A3C16" w:rsidRDefault="00995A2A" w:rsidP="00F01ED6">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F01ED6">
            <w:pPr>
              <w:pStyle w:val="ProductList-OfferingBody"/>
              <w:jc w:val="center"/>
            </w:pPr>
            <w:r>
              <w:t>&lt; 99%</w:t>
            </w:r>
          </w:p>
        </w:tc>
        <w:tc>
          <w:tcPr>
            <w:tcW w:w="5400" w:type="dxa"/>
          </w:tcPr>
          <w:p w14:paraId="74FCF29B" w14:textId="77777777" w:rsidR="00995A2A" w:rsidRPr="005A3C16" w:rsidRDefault="00995A2A" w:rsidP="00F01ED6">
            <w:pPr>
              <w:pStyle w:val="ProductList-OfferingBody"/>
              <w:jc w:val="center"/>
            </w:pPr>
            <w:r>
              <w:t>25%</w:t>
            </w:r>
          </w:p>
        </w:tc>
      </w:tr>
    </w:tbl>
    <w:p w14:paraId="1BA1E719"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691B462" w14:textId="77777777" w:rsidR="00745257" w:rsidRDefault="00745257" w:rsidP="00840862">
      <w:pPr>
        <w:pStyle w:val="ProductList-Offering2Heading"/>
        <w:keepNext/>
        <w:tabs>
          <w:tab w:val="clear" w:pos="360"/>
        </w:tabs>
        <w:outlineLvl w:val="2"/>
      </w:pPr>
      <w:bookmarkStart w:id="355" w:name="_Toc214456859"/>
      <w:r>
        <w:t>Microsoft Purview</w:t>
      </w:r>
      <w:bookmarkEnd w:id="355"/>
    </w:p>
    <w:p w14:paraId="2EC1EF64" w14:textId="77777777" w:rsidR="00745257" w:rsidRDefault="00745257" w:rsidP="00745257">
      <w:pPr>
        <w:pStyle w:val="ProductList-Body"/>
        <w:rPr>
          <w:b/>
          <w:color w:val="00188F"/>
        </w:rPr>
      </w:pPr>
      <w:r>
        <w:rPr>
          <w:b/>
          <w:color w:val="00188F"/>
        </w:rPr>
        <w:t>Definições Adicionais</w:t>
      </w:r>
      <w:r w:rsidRPr="00473DD3">
        <w:rPr>
          <w:b/>
          <w:color w:val="00188F"/>
        </w:rPr>
        <w:t>:</w:t>
      </w:r>
    </w:p>
    <w:p w14:paraId="6109965C" w14:textId="77777777" w:rsidR="00745257" w:rsidRDefault="00745257" w:rsidP="00745257">
      <w:pPr>
        <w:pStyle w:val="ProductList-Body"/>
        <w:spacing w:after="40"/>
      </w:pPr>
      <w:r>
        <w:t>“</w:t>
      </w:r>
      <w:r>
        <w:rPr>
          <w:b/>
          <w:color w:val="00188F"/>
        </w:rPr>
        <w:t>Total de Pedidos</w:t>
      </w:r>
      <w:r>
        <w:t>” designa o conjunto de todos os pedidos de API autenticados, que não Pedidos Excluídos, para executar as operações do Microsoft Purview durante um Período Aplicável para uma determinada subscrição do Microsoft Azure.</w:t>
      </w:r>
    </w:p>
    <w:p w14:paraId="47DA28C1" w14:textId="77777777" w:rsidR="00745257" w:rsidRDefault="00745257" w:rsidP="00745257">
      <w:pPr>
        <w:pStyle w:val="ProductList-Body"/>
        <w:spacing w:after="40"/>
      </w:pPr>
      <w:r>
        <w:t>“</w:t>
      </w:r>
      <w:r>
        <w:rPr>
          <w:b/>
          <w:color w:val="00188F"/>
        </w:rPr>
        <w:t>Pedidos Excluídos</w:t>
      </w:r>
      <w:r>
        <w:t>” designa o conjunto de pedidos que resultam num código de estado HTTP 4xx.</w:t>
      </w:r>
    </w:p>
    <w:p w14:paraId="175A4C15" w14:textId="77777777" w:rsidR="00745257" w:rsidRDefault="00745257" w:rsidP="00745257">
      <w:pPr>
        <w:pStyle w:val="ProductList-Body"/>
        <w:spacing w:after="40"/>
      </w:pPr>
      <w:r>
        <w:t>“</w:t>
      </w:r>
      <w:r>
        <w:rPr>
          <w:b/>
          <w:color w:val="00188F"/>
        </w:rPr>
        <w:t>Pedidos com Falha</w:t>
      </w:r>
      <w:r>
        <w:t>” é o conjunto de todos os pedidos no Total de Pedidos que devolvem um Código de Erro.</w:t>
      </w:r>
    </w:p>
    <w:p w14:paraId="7E257E8B" w14:textId="77777777" w:rsidR="00745257" w:rsidRDefault="00745257" w:rsidP="00745257">
      <w:pPr>
        <w:pStyle w:val="ProductList-Body"/>
        <w:spacing w:after="40"/>
      </w:pPr>
      <w:r>
        <w:t>A “</w:t>
      </w:r>
      <w:r>
        <w:rPr>
          <w:b/>
          <w:color w:val="00188F"/>
        </w:rPr>
        <w:t>Percentagem de Período de Disponibilidade</w:t>
      </w:r>
      <w:r>
        <w:t>” para as chamadas da API efetuadas para o serviço Microsoft Purview é calculada como o Total de Pedidos menos os Pedidos com Falha a dividir pelo Total de Pedidos num Período Aplicável para uma determinada subscrição do Microsoft Azure.</w:t>
      </w:r>
    </w:p>
    <w:p w14:paraId="357F8C4C" w14:textId="77777777" w:rsidR="00745257" w:rsidRDefault="00745257" w:rsidP="00745257">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B13A71B" w14:textId="77777777" w:rsidR="00745257" w:rsidRDefault="00000000" w:rsidP="00F0760D">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x100</m:t>
          </m:r>
        </m:oMath>
      </m:oMathPara>
    </w:p>
    <w:p w14:paraId="2BFE8B41" w14:textId="77777777" w:rsidR="00745257" w:rsidRDefault="00745257" w:rsidP="00745257">
      <w:pPr>
        <w:pStyle w:val="ProductList-Body"/>
        <w:spacing w:before="120"/>
      </w:pPr>
      <w:r>
        <w:rPr>
          <w:b/>
          <w:color w:val="00188F"/>
        </w:rPr>
        <w:t>Os seguintes Créditos de Serviço são aplicáveis à utilização que o Cliente faz das chamadas da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5257" w14:paraId="2683303F" w14:textId="77777777" w:rsidTr="006F6E1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310B49"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8AE514"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745257" w14:paraId="1D9DFD57"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E9DA8" w14:textId="77777777" w:rsidR="00745257" w:rsidRDefault="00745257" w:rsidP="006F6E13">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2F56C" w14:textId="77777777" w:rsidR="00745257" w:rsidRDefault="00745257" w:rsidP="006F6E13">
            <w:pPr>
              <w:pStyle w:val="ProductList-OfferingBody"/>
              <w:jc w:val="center"/>
              <w:rPr>
                <w:kern w:val="2"/>
                <w14:ligatures w14:val="standardContextual"/>
              </w:rPr>
            </w:pPr>
            <w:r>
              <w:rPr>
                <w14:ligatures w14:val="standardContextual"/>
              </w:rPr>
              <w:t>10%</w:t>
            </w:r>
          </w:p>
        </w:tc>
      </w:tr>
      <w:tr w:rsidR="00745257" w14:paraId="631E0380"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CA28F" w14:textId="77777777" w:rsidR="00745257" w:rsidRDefault="00745257" w:rsidP="006F6E13">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52B60" w14:textId="77777777" w:rsidR="00745257" w:rsidRDefault="00745257" w:rsidP="006F6E13">
            <w:pPr>
              <w:pStyle w:val="ProductList-OfferingBody"/>
              <w:jc w:val="center"/>
              <w:rPr>
                <w:kern w:val="2"/>
                <w14:ligatures w14:val="standardContextual"/>
              </w:rPr>
            </w:pPr>
            <w:r>
              <w:rPr>
                <w14:ligatures w14:val="standardContextual"/>
              </w:rPr>
              <w:t>25%</w:t>
            </w:r>
          </w:p>
        </w:tc>
      </w:tr>
    </w:tbl>
    <w:p w14:paraId="117928A2" w14:textId="77777777" w:rsidR="00745257" w:rsidRDefault="00745257" w:rsidP="001B0E4C">
      <w:pPr>
        <w:spacing w:before="120" w:after="0" w:line="240" w:lineRule="auto"/>
        <w:rPr>
          <w:sz w:val="18"/>
        </w:rPr>
      </w:pPr>
      <w:r>
        <w:rPr>
          <w:sz w:val="18"/>
        </w:rPr>
        <w:t>* Os Créditos de Serviço acima só estão disponíveis para partes do Microsoft Purview que são oferecidos por subscrição (anteriormente conhecido como Azure Purview).</w:t>
      </w:r>
    </w:p>
    <w:p w14:paraId="70188E3D" w14:textId="77777777" w:rsidR="00745257" w:rsidRPr="00EF7CF9" w:rsidRDefault="00745257" w:rsidP="007452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018AC1C5" w14:textId="77777777" w:rsidR="00BC654E" w:rsidRPr="00E1785C" w:rsidRDefault="00BC654E" w:rsidP="001B0E4C">
      <w:pPr>
        <w:pStyle w:val="ProductList-Offering2Heading"/>
        <w:tabs>
          <w:tab w:val="clear" w:pos="360"/>
          <w:tab w:val="clear" w:pos="720"/>
          <w:tab w:val="clear" w:pos="1080"/>
        </w:tabs>
        <w:outlineLvl w:val="2"/>
      </w:pPr>
      <w:bookmarkStart w:id="356" w:name="_Toc214456860"/>
      <w:r>
        <w:t>Azure Red Hat OpenShift</w:t>
      </w:r>
      <w:bookmarkEnd w:id="356"/>
    </w:p>
    <w:p w14:paraId="43386062" w14:textId="77777777" w:rsidR="00BC654E" w:rsidRPr="00E1785C" w:rsidRDefault="00BC654E" w:rsidP="00BC654E">
      <w:pPr>
        <w:pStyle w:val="ProductList-Body"/>
        <w:rPr>
          <w:b/>
          <w:bCs/>
          <w:color w:val="00188F"/>
        </w:rPr>
      </w:pPr>
      <w:r>
        <w:rPr>
          <w:b/>
          <w:bCs/>
          <w:color w:val="00188F"/>
        </w:rPr>
        <w:t>Definições Adicionais</w:t>
      </w:r>
    </w:p>
    <w:p w14:paraId="64D663D2" w14:textId="77777777" w:rsidR="00BC654E" w:rsidRDefault="00BC654E" w:rsidP="00BC654E">
      <w:pPr>
        <w:pStyle w:val="ProductList-Body"/>
      </w:pPr>
      <w:r>
        <w:t>“</w:t>
      </w:r>
      <w:r>
        <w:rPr>
          <w:b/>
          <w:bCs/>
          <w:color w:val="00188F"/>
        </w:rPr>
        <w:t>Máximo de Minutos Disponíveis</w:t>
      </w:r>
      <w:r>
        <w:t>” designa o total de minutos acumulados durante um Período Aplicável durante o qual um determinado cluster do Azure Red Hat OpenShift tenha sido implementado numa subscrição do Microsoft Azure.</w:t>
      </w:r>
    </w:p>
    <w:p w14:paraId="0FC05AE4" w14:textId="77777777" w:rsidR="00BC654E" w:rsidRDefault="00BC654E" w:rsidP="00BC654E">
      <w:pPr>
        <w:pStyle w:val="ProductList-Body"/>
      </w:pPr>
      <w:r>
        <w:t>“</w:t>
      </w:r>
      <w:r>
        <w:rPr>
          <w:b/>
          <w:bCs/>
          <w:color w:val="00188F"/>
        </w:rPr>
        <w:t>Período de indisponibilidade</w:t>
      </w:r>
      <w:r>
        <w:t>” designa o total Máximo de Minutos Disponíveis acumulados durante um Período Aplicável durante o qual um determinado ponto final da API de cluster do Azure Red Hat OpenShift está indisponível. Considera-se que um determinado minuto está indisponível se todas as tentativas de ligação ao ponto final da API de cluster, durante esse minuto, falharem.</w:t>
      </w:r>
    </w:p>
    <w:p w14:paraId="616B8A02" w14:textId="77777777" w:rsidR="00BC654E" w:rsidRDefault="00BC654E" w:rsidP="00BC654E">
      <w:pPr>
        <w:pStyle w:val="ProductList-Body"/>
      </w:pPr>
      <w:r>
        <w:t>“</w:t>
      </w:r>
      <w:r>
        <w:rPr>
          <w:b/>
          <w:bCs/>
          <w:color w:val="00188F"/>
        </w:rPr>
        <w:t>Percentagem de Período de Disponibilidade</w:t>
      </w:r>
      <w:r>
        <w:t>” A Percentagem de Período de Disponibilidade é calculada utilizando a seguinte fórmula:</w:t>
      </w:r>
    </w:p>
    <w:p w14:paraId="3DE9B14D" w14:textId="77777777" w:rsidR="00BC654E" w:rsidRPr="001B0E4C" w:rsidRDefault="00000000" w:rsidP="00AB6E4B">
      <w:pPr>
        <w:pStyle w:val="ListParagraph"/>
        <w:spacing w:before="120" w:after="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1BA64AF8" w14:textId="77777777" w:rsidTr="006F6E13">
        <w:trPr>
          <w:tblHeader/>
        </w:trPr>
        <w:tc>
          <w:tcPr>
            <w:tcW w:w="5400" w:type="dxa"/>
            <w:shd w:val="clear" w:color="auto" w:fill="0072C6"/>
          </w:tcPr>
          <w:p w14:paraId="4943AC2A"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430B541"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5B7B315E" w14:textId="77777777" w:rsidTr="006F6E13">
        <w:tc>
          <w:tcPr>
            <w:tcW w:w="5400" w:type="dxa"/>
          </w:tcPr>
          <w:p w14:paraId="5596C317" w14:textId="77777777" w:rsidR="00BC654E" w:rsidRPr="005A3C16" w:rsidRDefault="00BC654E" w:rsidP="006F6E13">
            <w:pPr>
              <w:pStyle w:val="ProductList-OfferingBody"/>
              <w:jc w:val="center"/>
            </w:pPr>
            <w:r>
              <w:t>&lt; 99,95%</w:t>
            </w:r>
          </w:p>
        </w:tc>
        <w:tc>
          <w:tcPr>
            <w:tcW w:w="5400" w:type="dxa"/>
          </w:tcPr>
          <w:p w14:paraId="13C72FA3" w14:textId="77777777" w:rsidR="00BC654E" w:rsidRPr="005A3C16" w:rsidRDefault="00BC654E" w:rsidP="006F6E13">
            <w:pPr>
              <w:pStyle w:val="ProductList-OfferingBody"/>
              <w:jc w:val="center"/>
            </w:pPr>
            <w:r>
              <w:t>10%</w:t>
            </w:r>
          </w:p>
        </w:tc>
      </w:tr>
      <w:tr w:rsidR="00BC654E" w:rsidRPr="00B44CF9" w14:paraId="609CCFC5" w14:textId="77777777" w:rsidTr="006F6E13">
        <w:tc>
          <w:tcPr>
            <w:tcW w:w="5400" w:type="dxa"/>
          </w:tcPr>
          <w:p w14:paraId="2021C2FC" w14:textId="77777777" w:rsidR="00BC654E" w:rsidRPr="005A3C16" w:rsidRDefault="00BC654E" w:rsidP="006F6E13">
            <w:pPr>
              <w:pStyle w:val="ProductList-OfferingBody"/>
              <w:jc w:val="center"/>
            </w:pPr>
            <w:r>
              <w:t>&lt; 99%</w:t>
            </w:r>
          </w:p>
        </w:tc>
        <w:tc>
          <w:tcPr>
            <w:tcW w:w="5400" w:type="dxa"/>
          </w:tcPr>
          <w:p w14:paraId="4A41FD3C" w14:textId="77777777" w:rsidR="00BC654E" w:rsidRPr="005A3C16" w:rsidRDefault="00BC654E" w:rsidP="006F6E13">
            <w:pPr>
              <w:pStyle w:val="ProductList-OfferingBody"/>
              <w:jc w:val="center"/>
            </w:pPr>
            <w:r>
              <w:t>25%</w:t>
            </w:r>
          </w:p>
        </w:tc>
      </w:tr>
    </w:tbl>
    <w:p w14:paraId="7ADBA4C2" w14:textId="77777777" w:rsidR="00BC654E" w:rsidRPr="00EF7CF9" w:rsidRDefault="00BC654E" w:rsidP="00BC654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4CB1C4" w14:textId="5B9E474A" w:rsidR="00BC654E" w:rsidRPr="000C7D2A" w:rsidRDefault="00BC654E" w:rsidP="00BC654E">
      <w:pPr>
        <w:pStyle w:val="ProductList-Offering2Heading"/>
        <w:keepNext/>
        <w:tabs>
          <w:tab w:val="clear" w:pos="360"/>
          <w:tab w:val="clear" w:pos="720"/>
          <w:tab w:val="clear" w:pos="1080"/>
        </w:tabs>
        <w:outlineLvl w:val="2"/>
      </w:pPr>
      <w:bookmarkStart w:id="357" w:name="_Toc214456861"/>
      <w:r>
        <w:lastRenderedPageBreak/>
        <w:t>Composição Remota</w:t>
      </w:r>
      <w:bookmarkEnd w:id="357"/>
    </w:p>
    <w:p w14:paraId="344C9FD2" w14:textId="77777777" w:rsidR="00BC654E" w:rsidRPr="000C7D2A" w:rsidRDefault="00BC654E" w:rsidP="00BC654E">
      <w:pPr>
        <w:pStyle w:val="ProductList-Body"/>
        <w:rPr>
          <w:b/>
          <w:bCs/>
          <w:color w:val="00188F"/>
        </w:rPr>
      </w:pPr>
      <w:r>
        <w:rPr>
          <w:b/>
          <w:bCs/>
          <w:color w:val="00188F"/>
        </w:rPr>
        <w:t>Definições Adicionais</w:t>
      </w:r>
    </w:p>
    <w:p w14:paraId="7A9BF92D" w14:textId="77777777" w:rsidR="00BC654E" w:rsidRDefault="00BC654E" w:rsidP="00BC654E">
      <w:pPr>
        <w:pStyle w:val="ProductList-Body"/>
      </w:pPr>
      <w:r>
        <w:t>“</w:t>
      </w:r>
      <w:r>
        <w:rPr>
          <w:b/>
          <w:bCs/>
          <w:color w:val="00188F"/>
        </w:rPr>
        <w:t>Conversão</w:t>
      </w:r>
      <w:r>
        <w:t>” designa um processo que transforma os modelos 3D no formato exigido durante uma Sessão de Composição.</w:t>
      </w:r>
    </w:p>
    <w:p w14:paraId="4CB334E6" w14:textId="77777777" w:rsidR="00BC654E" w:rsidRDefault="00BC654E" w:rsidP="00BC654E">
      <w:pPr>
        <w:pStyle w:val="ProductList-Body"/>
      </w:pPr>
      <w:r>
        <w:t>“</w:t>
      </w:r>
      <w:r>
        <w:rPr>
          <w:b/>
          <w:bCs/>
          <w:color w:val="00188F"/>
        </w:rPr>
        <w:t>Sessão de Composição</w:t>
      </w:r>
      <w:r>
        <w:t>” designa uma interação com o Serviço de Composição Remota.</w:t>
      </w:r>
    </w:p>
    <w:p w14:paraId="120137A5" w14:textId="77777777" w:rsidR="00BC654E" w:rsidRPr="000C7D2A" w:rsidRDefault="00BC654E" w:rsidP="00AB73C5">
      <w:pPr>
        <w:pStyle w:val="ProductList-Body"/>
        <w:rPr>
          <w:b/>
          <w:bCs/>
          <w:color w:val="00188F"/>
        </w:rPr>
      </w:pPr>
      <w:r>
        <w:rPr>
          <w:b/>
          <w:bCs/>
          <w:color w:val="00188F"/>
        </w:rPr>
        <w:t>Cálculo do Período de Disponibilidade e Níveis de Serviço para Transações de API REST de Conversão</w:t>
      </w:r>
    </w:p>
    <w:p w14:paraId="53C0717C" w14:textId="77777777" w:rsidR="00BC654E" w:rsidRDefault="00BC654E" w:rsidP="00AB73C5">
      <w:pPr>
        <w:pStyle w:val="ProductList-Body"/>
        <w:keepNext/>
      </w:pPr>
      <w:r>
        <w:t>“</w:t>
      </w:r>
      <w:r>
        <w:rPr>
          <w:b/>
          <w:bCs/>
          <w:color w:val="00188F"/>
        </w:rPr>
        <w:t>Total de Tentativas de Transação</w:t>
      </w:r>
      <w:r>
        <w:t>” é o número total de pedidos da API REST autenticados para a funcionalidade de Conversão no Serviço Azure Remote Rendering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8CE72E6" w14:textId="77777777" w:rsidR="00BC654E" w:rsidRDefault="00BC654E" w:rsidP="00BC654E">
      <w:pPr>
        <w:pStyle w:val="ProductList-Body"/>
      </w:pPr>
      <w:r>
        <w:t>“</w:t>
      </w:r>
      <w:r>
        <w:rPr>
          <w:b/>
          <w:bCs/>
          <w:color w:val="00188F"/>
        </w:rPr>
        <w:t>Transações com Falha</w:t>
      </w:r>
      <w:r>
        <w:t>” é o conjunto de todos os pedidos no Total de Tentativas de Transação que devolvem um Código de Erro num prazo de 30 segundos a partir da receção do pedido por parte da Microsoft.</w:t>
      </w:r>
    </w:p>
    <w:p w14:paraId="431A94A8" w14:textId="77777777" w:rsidR="00BC654E" w:rsidRDefault="00BC654E" w:rsidP="00BC654E">
      <w:pPr>
        <w:pStyle w:val="ProductList-Body"/>
      </w:pPr>
      <w:r>
        <w:t>A “</w:t>
      </w:r>
      <w:r>
        <w:rPr>
          <w:b/>
          <w:bCs/>
          <w:color w:val="00188F"/>
        </w:rPr>
        <w:t>Percentagem de Período de Disponibilidade</w:t>
      </w:r>
      <w:r>
        <w:t>” para o Serviço Azure Remote Rendering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575266B3" w14:textId="77777777" w:rsidR="00BC654E" w:rsidRPr="00EF7CF9" w:rsidRDefault="00000000" w:rsidP="00CB3B0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0F3AD3BF" w14:textId="77777777" w:rsidR="00BC654E" w:rsidRPr="000C7D2A" w:rsidRDefault="00BC654E" w:rsidP="00BC654E">
      <w:pPr>
        <w:pStyle w:val="ProductList-Body"/>
        <w:rPr>
          <w:b/>
          <w:bCs/>
          <w:color w:val="00188F"/>
        </w:rPr>
      </w:pPr>
      <w:r>
        <w:rPr>
          <w:b/>
          <w:bCs/>
          <w:color w:val="00188F"/>
        </w:rPr>
        <w:t>Os seguintes Níveis de Serviço e Créditos de Serviço são aplicáveis à utilização que o Cliente faz da funcionalidade Conversão do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38425541" w14:textId="77777777" w:rsidTr="006F6E13">
        <w:trPr>
          <w:tblHeader/>
        </w:trPr>
        <w:tc>
          <w:tcPr>
            <w:tcW w:w="5400" w:type="dxa"/>
            <w:shd w:val="clear" w:color="auto" w:fill="0072C6"/>
          </w:tcPr>
          <w:p w14:paraId="5ED9FD62"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BDA7EE0"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7CA2DB34" w14:textId="77777777" w:rsidTr="006F6E13">
        <w:tc>
          <w:tcPr>
            <w:tcW w:w="5400" w:type="dxa"/>
          </w:tcPr>
          <w:p w14:paraId="63CD7E72" w14:textId="77777777" w:rsidR="00BC654E" w:rsidRPr="005A3C16" w:rsidRDefault="00BC654E" w:rsidP="006F6E13">
            <w:pPr>
              <w:pStyle w:val="ProductList-OfferingBody"/>
              <w:jc w:val="center"/>
            </w:pPr>
            <w:r>
              <w:t>&lt; 99,9%</w:t>
            </w:r>
          </w:p>
        </w:tc>
        <w:tc>
          <w:tcPr>
            <w:tcW w:w="5400" w:type="dxa"/>
          </w:tcPr>
          <w:p w14:paraId="5D78C177" w14:textId="77777777" w:rsidR="00BC654E" w:rsidRPr="005A3C16" w:rsidRDefault="00BC654E" w:rsidP="006F6E13">
            <w:pPr>
              <w:pStyle w:val="ProductList-OfferingBody"/>
              <w:jc w:val="center"/>
            </w:pPr>
            <w:r>
              <w:t>10%</w:t>
            </w:r>
          </w:p>
        </w:tc>
      </w:tr>
      <w:tr w:rsidR="00BC654E" w:rsidRPr="00B44CF9" w14:paraId="19D690EA" w14:textId="77777777" w:rsidTr="006F6E13">
        <w:tc>
          <w:tcPr>
            <w:tcW w:w="5400" w:type="dxa"/>
          </w:tcPr>
          <w:p w14:paraId="0EC04617" w14:textId="77777777" w:rsidR="00BC654E" w:rsidRPr="005A3C16" w:rsidRDefault="00BC654E" w:rsidP="006F6E13">
            <w:pPr>
              <w:pStyle w:val="ProductList-OfferingBody"/>
              <w:jc w:val="center"/>
            </w:pPr>
            <w:r>
              <w:t>&lt; 99%</w:t>
            </w:r>
          </w:p>
        </w:tc>
        <w:tc>
          <w:tcPr>
            <w:tcW w:w="5400" w:type="dxa"/>
          </w:tcPr>
          <w:p w14:paraId="014D9EED" w14:textId="77777777" w:rsidR="00BC654E" w:rsidRPr="005A3C16" w:rsidRDefault="00BC654E" w:rsidP="006F6E13">
            <w:pPr>
              <w:pStyle w:val="ProductList-OfferingBody"/>
              <w:jc w:val="center"/>
            </w:pPr>
            <w:r>
              <w:t>25%</w:t>
            </w:r>
          </w:p>
        </w:tc>
      </w:tr>
    </w:tbl>
    <w:p w14:paraId="578217EE" w14:textId="77777777" w:rsidR="00BC654E" w:rsidRPr="004E4800" w:rsidRDefault="00BC654E" w:rsidP="00BC654E">
      <w:pPr>
        <w:pStyle w:val="ProductList-Body"/>
        <w:spacing w:before="120"/>
        <w:rPr>
          <w:b/>
          <w:bCs/>
          <w:color w:val="00188F"/>
        </w:rPr>
      </w:pPr>
      <w:r>
        <w:rPr>
          <w:b/>
          <w:bCs/>
          <w:color w:val="00188F"/>
        </w:rPr>
        <w:t>Cálculo do Período de Disponibilidade e Níveis de Serviço para Sessões de Composição</w:t>
      </w:r>
    </w:p>
    <w:p w14:paraId="58D414EF" w14:textId="2A350E59" w:rsidR="000C7D2A" w:rsidRDefault="00380305" w:rsidP="00F01ED6">
      <w:pPr>
        <w:pStyle w:val="ProductList-Body"/>
      </w:pPr>
      <w:r>
        <w:t>“</w:t>
      </w:r>
      <w:r w:rsidR="000C7D2A">
        <w:rPr>
          <w:b/>
          <w:bCs/>
          <w:color w:val="00188F"/>
        </w:rPr>
        <w:t>Minutos de Implementação</w:t>
      </w:r>
      <w:r>
        <w:t>”</w:t>
      </w:r>
      <w:r w:rsidR="000C7D2A">
        <w:t xml:space="preserve"> é o número de minutos numa Sessão de Composição, medido a partir da alocação de uma Sessão de Composição devido a uma ação iniciada pelo Cliente até ao momento em que o Cliente iniciou uma ação que resultaria na paragem da sessão durante um Período Aplicável.</w:t>
      </w:r>
    </w:p>
    <w:p w14:paraId="75D2D956" w14:textId="3F017D98" w:rsidR="000C7D2A" w:rsidRDefault="00380305" w:rsidP="00F01ED6">
      <w:pPr>
        <w:pStyle w:val="ProductList-Body"/>
      </w:pPr>
      <w:r>
        <w:t>“</w:t>
      </w:r>
      <w:r w:rsidR="000C7D2A">
        <w:rPr>
          <w:b/>
          <w:bCs/>
          <w:color w:val="00188F"/>
        </w:rPr>
        <w:t>Máximo de Minutos Disponíveis</w:t>
      </w:r>
      <w:r>
        <w:t>”</w:t>
      </w:r>
      <w:r w:rsidR="000C7D2A">
        <w:t xml:space="preserve"> designa a soma de todos os Minutos de Implementação em todas as Sessões de Composição durante um Período Aplicável.</w:t>
      </w:r>
    </w:p>
    <w:p w14:paraId="5D2CD3DA" w14:textId="2D16243C" w:rsidR="000C7D2A" w:rsidRPr="00957253" w:rsidRDefault="00380305" w:rsidP="00F01ED6">
      <w:pPr>
        <w:pStyle w:val="ProductList-Body"/>
        <w:rPr>
          <w:spacing w:val="-3"/>
        </w:rPr>
      </w:pPr>
      <w:r>
        <w:rPr>
          <w:spacing w:val="-3"/>
        </w:rPr>
        <w:t>“</w:t>
      </w:r>
      <w:r w:rsidR="000C7D2A" w:rsidRPr="00957253">
        <w:rPr>
          <w:b/>
          <w:bCs/>
          <w:color w:val="00188F"/>
          <w:spacing w:val="-3"/>
        </w:rPr>
        <w:t>Período de Indisponibilidade</w:t>
      </w:r>
      <w:r>
        <w:rPr>
          <w:spacing w:val="-3"/>
        </w:rPr>
        <w:t>”</w:t>
      </w:r>
      <w:r w:rsidR="000C7D2A" w:rsidRPr="00957253">
        <w:rPr>
          <w:spacing w:val="-3"/>
        </w:rPr>
        <w:t xml:space="preserve"> é o total de Minutos de Implementação acumulados quando o Serviço de Composição Remota está indisponível. Um minuto é considerado indisponível para uma determinada Sessão de Composição se esta não tiver qualquer Conectividade Externa durante o minuto.</w:t>
      </w:r>
    </w:p>
    <w:p w14:paraId="6B5C2F46" w14:textId="4A35B156" w:rsidR="000C7D2A" w:rsidRDefault="000C7D2A" w:rsidP="00F01ED6">
      <w:pPr>
        <w:pStyle w:val="ProductList-Body"/>
      </w:pPr>
      <w:r>
        <w:t xml:space="preserve">A </w:t>
      </w:r>
      <w:r w:rsidR="00380305">
        <w:t>“</w:t>
      </w:r>
      <w:r>
        <w:rPr>
          <w:b/>
          <w:bCs/>
          <w:color w:val="00188F"/>
        </w:rPr>
        <w:t>Percentagem de Período de Disponibilidade</w:t>
      </w:r>
      <w:r w:rsidR="00380305">
        <w:t>”</w:t>
      </w:r>
      <w:r>
        <w:t xml:space="preserve"> para a Sessão de Composição é calculada como o Máximo de Minutos Disponíveis menos o Período de Indisponibilidade a dividir pelo Máximo de Minutos Disponíveis num Período Aplicável para uma determinada subscrição do Azure. A</w:t>
      </w:r>
      <w:r w:rsidR="003730C8">
        <w:t> </w:t>
      </w:r>
      <w:r>
        <w:t>Percentagem de Período de Disponibilidade é representada pela seguinte fórmula:</w:t>
      </w:r>
    </w:p>
    <w:p w14:paraId="22235A21" w14:textId="16911006" w:rsidR="00381981" w:rsidRPr="00EF7CF9" w:rsidRDefault="00000000" w:rsidP="00AD1D5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3B2938" w14:textId="77777777" w:rsidR="000C7D2A" w:rsidRPr="00CF7B6D" w:rsidRDefault="000C7D2A" w:rsidP="00F01ED6">
      <w:pPr>
        <w:pStyle w:val="ProductList-Body"/>
        <w:rPr>
          <w:b/>
          <w:bCs/>
          <w:color w:val="00188F"/>
        </w:rPr>
      </w:pPr>
      <w:r>
        <w:rPr>
          <w:b/>
          <w:bCs/>
          <w:color w:val="00188F"/>
        </w:rPr>
        <w:t>Os seguintes Níveis de Serviço e Créditos de Serviço são aplicáveis à utilização que o Cliente faz das Sessões de Composição no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204C83" w14:textId="77777777" w:rsidR="00381981" w:rsidRPr="005A3C16" w:rsidRDefault="00381981" w:rsidP="00F01ED6">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277097">
        <w:tc>
          <w:tcPr>
            <w:tcW w:w="5400" w:type="dxa"/>
          </w:tcPr>
          <w:p w14:paraId="4217D408" w14:textId="77777777" w:rsidR="00381981" w:rsidRPr="005A3C16" w:rsidRDefault="00381981" w:rsidP="00F01ED6">
            <w:pPr>
              <w:pStyle w:val="ProductList-OfferingBody"/>
              <w:jc w:val="center"/>
            </w:pPr>
            <w:r>
              <w:t>&lt; 99,9%</w:t>
            </w:r>
          </w:p>
        </w:tc>
        <w:tc>
          <w:tcPr>
            <w:tcW w:w="5400" w:type="dxa"/>
          </w:tcPr>
          <w:p w14:paraId="272E18FB" w14:textId="77777777" w:rsidR="00381981" w:rsidRPr="005A3C16" w:rsidRDefault="00381981" w:rsidP="00F01ED6">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F01ED6">
            <w:pPr>
              <w:pStyle w:val="ProductList-OfferingBody"/>
              <w:jc w:val="center"/>
            </w:pPr>
            <w:r>
              <w:t>&lt; 99%</w:t>
            </w:r>
          </w:p>
        </w:tc>
        <w:tc>
          <w:tcPr>
            <w:tcW w:w="5400" w:type="dxa"/>
          </w:tcPr>
          <w:p w14:paraId="499C4BE6" w14:textId="77777777" w:rsidR="00381981" w:rsidRPr="005A3C16" w:rsidRDefault="00381981" w:rsidP="00F01ED6">
            <w:pPr>
              <w:pStyle w:val="ProductList-OfferingBody"/>
              <w:jc w:val="center"/>
            </w:pPr>
            <w:r>
              <w:t>25%</w:t>
            </w:r>
          </w:p>
        </w:tc>
      </w:tr>
    </w:tbl>
    <w:p w14:paraId="094AC5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EB8223" w14:textId="77777777" w:rsidR="00A82CB1" w:rsidRPr="00A82CB1" w:rsidRDefault="00A82CB1" w:rsidP="00F01ED6">
      <w:pPr>
        <w:pStyle w:val="ProductList-Offering2Heading"/>
        <w:keepNext/>
        <w:tabs>
          <w:tab w:val="clear" w:pos="360"/>
          <w:tab w:val="clear" w:pos="720"/>
          <w:tab w:val="clear" w:pos="1080"/>
        </w:tabs>
        <w:outlineLvl w:val="2"/>
      </w:pPr>
      <w:bookmarkStart w:id="358" w:name="_Toc214456862"/>
      <w:r>
        <w:t>Azure Route Server</w:t>
      </w:r>
      <w:bookmarkEnd w:id="358"/>
    </w:p>
    <w:p w14:paraId="3DEC4CEF" w14:textId="49D02559" w:rsidR="00A82CB1" w:rsidRPr="00A82CB1" w:rsidRDefault="00EE6E3C" w:rsidP="00F01ED6">
      <w:pPr>
        <w:pStyle w:val="ProductList-Body"/>
        <w:keepNext/>
        <w:rPr>
          <w:b/>
          <w:bCs/>
          <w:color w:val="00188F"/>
        </w:rPr>
      </w:pPr>
      <w:r>
        <w:rPr>
          <w:b/>
          <w:bCs/>
          <w:color w:val="00188F"/>
        </w:rPr>
        <w:t>Cálculo do Período de Disponibilidade</w:t>
      </w:r>
    </w:p>
    <w:p w14:paraId="2D504CF5" w14:textId="700839D9" w:rsidR="00A82CB1" w:rsidRDefault="00380305" w:rsidP="00F01ED6">
      <w:pPr>
        <w:pStyle w:val="ProductList-Body"/>
      </w:pPr>
      <w:r>
        <w:t>“</w:t>
      </w:r>
      <w:r w:rsidR="00A82CB1">
        <w:rPr>
          <w:b/>
          <w:bCs/>
          <w:color w:val="00188F"/>
        </w:rPr>
        <w:t>Máximo de Minutos Disponíveis</w:t>
      </w:r>
      <w:r>
        <w:t>”</w:t>
      </w:r>
      <w:r w:rsidR="00A82CB1">
        <w:t xml:space="preserve"> designa o total de minutos acumulados durante um Período Aplicável durante o qual um determinado Azure Route Server tenha sido implementado numa subscrição do Microsoft Azure.</w:t>
      </w:r>
    </w:p>
    <w:p w14:paraId="67F8492A" w14:textId="3B34BDDC" w:rsidR="00A82CB1" w:rsidRDefault="00380305" w:rsidP="00F01ED6">
      <w:pPr>
        <w:pStyle w:val="ProductList-Body"/>
      </w:pPr>
      <w:r>
        <w:t>“</w:t>
      </w:r>
      <w:r w:rsidR="00A82CB1">
        <w:rPr>
          <w:b/>
          <w:bCs/>
          <w:color w:val="00188F"/>
        </w:rPr>
        <w:t>Período de Indisponibilidade</w:t>
      </w:r>
      <w:r>
        <w:t>”</w:t>
      </w:r>
      <w:r w:rsidR="00A82CB1">
        <w:t xml:space="preserve"> designa ao total acumulado de Máximo de Minutos Disponíveis durante o qual um Azure Route Server está indisponível. Considera-se que um minuto está indisponível se todas as tentativas de ligação ao Azure Route Server durante esse minuto falharem.</w:t>
      </w:r>
    </w:p>
    <w:p w14:paraId="3255F05B" w14:textId="512DCFDC" w:rsidR="00A82CB1" w:rsidRDefault="00A82CB1" w:rsidP="00F01ED6">
      <w:pPr>
        <w:pStyle w:val="ProductList-Body"/>
      </w:pPr>
      <w:r>
        <w:t xml:space="preserve">A </w:t>
      </w:r>
      <w:r w:rsidR="00380305">
        <w:t>“</w:t>
      </w:r>
      <w:r>
        <w:rPr>
          <w:b/>
          <w:bCs/>
          <w:color w:val="00188F"/>
        </w:rPr>
        <w:t>Percentagem de Período de Disponibilidade</w:t>
      </w:r>
      <w:r w:rsidR="00380305">
        <w:t>”</w:t>
      </w:r>
      <w:r>
        <w:t xml:space="preserve"> para um determinado Azure Route Server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35981088" w14:textId="492FB761" w:rsidR="00A82CB1" w:rsidRPr="00EF7CF9" w:rsidRDefault="00000000" w:rsidP="00AD1D5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7224F44" w14:textId="33220A43" w:rsidR="00A82CB1" w:rsidRPr="00A82CB1" w:rsidRDefault="00A82CB1" w:rsidP="00F01ED6">
      <w:pPr>
        <w:pStyle w:val="ProductList-Body"/>
        <w:rPr>
          <w:b/>
          <w:bCs/>
          <w:color w:val="00188F"/>
        </w:rPr>
      </w:pPr>
      <w:r>
        <w:rPr>
          <w:b/>
          <w:bCs/>
          <w:color w:val="00188F"/>
        </w:rPr>
        <w:t>Os seguintes Níveis de Serviço e Créditos de Serviço são aplicáveis à utilização de cada Azure Route Server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6A2B71" w14:textId="77777777" w:rsidR="00A82CB1" w:rsidRPr="005A3C16" w:rsidRDefault="00A82CB1" w:rsidP="00F01ED6">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277097">
        <w:tc>
          <w:tcPr>
            <w:tcW w:w="5400" w:type="dxa"/>
          </w:tcPr>
          <w:p w14:paraId="67891EF6" w14:textId="3A77A409" w:rsidR="00A82CB1" w:rsidRPr="005A3C16" w:rsidRDefault="00A82CB1" w:rsidP="00F01ED6">
            <w:pPr>
              <w:pStyle w:val="ProductList-OfferingBody"/>
              <w:jc w:val="center"/>
            </w:pPr>
            <w:r>
              <w:t>&lt; 99,95%</w:t>
            </w:r>
          </w:p>
        </w:tc>
        <w:tc>
          <w:tcPr>
            <w:tcW w:w="5400" w:type="dxa"/>
          </w:tcPr>
          <w:p w14:paraId="1275BFAD" w14:textId="77777777" w:rsidR="00A82CB1" w:rsidRPr="005A3C16" w:rsidRDefault="00A82CB1" w:rsidP="00F01ED6">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F01ED6">
            <w:pPr>
              <w:pStyle w:val="ProductList-OfferingBody"/>
              <w:jc w:val="center"/>
            </w:pPr>
            <w:r>
              <w:t>&lt; 99%</w:t>
            </w:r>
          </w:p>
        </w:tc>
        <w:tc>
          <w:tcPr>
            <w:tcW w:w="5400" w:type="dxa"/>
          </w:tcPr>
          <w:p w14:paraId="1119D2E9" w14:textId="77777777" w:rsidR="00A82CB1" w:rsidRPr="005A3C16" w:rsidRDefault="00A82CB1" w:rsidP="00F01ED6">
            <w:pPr>
              <w:pStyle w:val="ProductList-OfferingBody"/>
              <w:jc w:val="center"/>
            </w:pPr>
            <w:r>
              <w:t>25%</w:t>
            </w:r>
          </w:p>
        </w:tc>
      </w:tr>
    </w:tbl>
    <w:bookmarkStart w:id="359" w:name="_Toc510793702"/>
    <w:bookmarkStart w:id="360" w:name="_Toc52348978"/>
    <w:p w14:paraId="60993F14"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CD3C75" w14:textId="77777777" w:rsidR="00745257" w:rsidRDefault="00745257" w:rsidP="00840862">
      <w:pPr>
        <w:pStyle w:val="ProductList-Offering2Heading"/>
        <w:keepNext/>
        <w:tabs>
          <w:tab w:val="clear" w:pos="360"/>
          <w:tab w:val="clear" w:pos="720"/>
          <w:tab w:val="clear" w:pos="1080"/>
        </w:tabs>
        <w:outlineLvl w:val="2"/>
      </w:pPr>
      <w:bookmarkStart w:id="361" w:name="_Toc214456863"/>
      <w:r>
        <w:t>SAP HANA em Grandes Instâncias do Azure</w:t>
      </w:r>
      <w:bookmarkEnd w:id="361"/>
    </w:p>
    <w:p w14:paraId="54953FF3" w14:textId="77777777" w:rsidR="00745257" w:rsidRPr="00957253" w:rsidRDefault="00745257" w:rsidP="00745257">
      <w:pPr>
        <w:pStyle w:val="ProductList-Body"/>
        <w:rPr>
          <w:rFonts w:cstheme="minorHAnsi"/>
          <w:szCs w:val="18"/>
        </w:rPr>
      </w:pPr>
      <w:r w:rsidRPr="00957253">
        <w:rPr>
          <w:rFonts w:cstheme="minorHAnsi"/>
          <w:b/>
          <w:color w:val="00188F"/>
          <w:szCs w:val="18"/>
        </w:rPr>
        <w:t>Definições Adicionais</w:t>
      </w:r>
      <w:r w:rsidRPr="00473DD3">
        <w:rPr>
          <w:rFonts w:cstheme="minorHAnsi"/>
          <w:b/>
          <w:color w:val="00188F"/>
          <w:szCs w:val="18"/>
        </w:rPr>
        <w:t>:</w:t>
      </w:r>
    </w:p>
    <w:p w14:paraId="7CC3393F"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Manutenção da Instância Única Anunciada</w:t>
      </w:r>
      <w:r>
        <w:rPr>
          <w:rFonts w:cstheme="minorHAnsi"/>
          <w:sz w:val="18"/>
          <w:szCs w:val="18"/>
        </w:rPr>
        <w:t>”</w:t>
      </w:r>
      <w:r w:rsidRPr="00957253">
        <w:rPr>
          <w:rFonts w:cstheme="minorHAnsi"/>
          <w:sz w:val="18"/>
          <w:szCs w:val="18"/>
        </w:rPr>
        <w:t xml:space="preserve"> designa os períodos de Período de Indisponibilidade relacionados com as atualizações de rede ou a</w:t>
      </w:r>
      <w:r>
        <w:rPr>
          <w:rFonts w:cstheme="minorHAnsi"/>
          <w:sz w:val="18"/>
          <w:szCs w:val="18"/>
        </w:rPr>
        <w:t> </w:t>
      </w:r>
      <w:r w:rsidRPr="00957253">
        <w:rPr>
          <w:rFonts w:cstheme="minorHAnsi"/>
          <w:sz w:val="18"/>
          <w:szCs w:val="18"/>
        </w:rPr>
        <w:t>manutenção da rede, do hardware ou do Serviço que têm impacto nas Instâncias Únicas. A Microsoft publicará uma notificação ou notificará o</w:t>
      </w:r>
      <w:r>
        <w:rPr>
          <w:rFonts w:cstheme="minorHAnsi"/>
          <w:sz w:val="18"/>
          <w:szCs w:val="18"/>
        </w:rPr>
        <w:t> </w:t>
      </w:r>
      <w:r w:rsidRPr="00957253">
        <w:rPr>
          <w:rFonts w:cstheme="minorHAnsi"/>
          <w:sz w:val="18"/>
          <w:szCs w:val="18"/>
        </w:rPr>
        <w:t>Cliente pelo menos cinco (5) dias antes do início desse Período de Indisponibilidade.</w:t>
      </w:r>
    </w:p>
    <w:p w14:paraId="68781C45"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Par de Elevada Disponibilidade</w:t>
      </w:r>
      <w:r>
        <w:rPr>
          <w:rFonts w:cstheme="minorHAnsi"/>
          <w:sz w:val="18"/>
          <w:szCs w:val="18"/>
        </w:rPr>
        <w:t>”</w:t>
      </w:r>
      <w:r w:rsidRPr="00957253">
        <w:rPr>
          <w:rFonts w:cstheme="minorHAnsi"/>
          <w:sz w:val="18"/>
          <w:szCs w:val="18"/>
        </w:rPr>
        <w:t xml:space="preserve"> 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62E182F8"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Conectividade do SAP HANA</w:t>
      </w:r>
      <w:r>
        <w:rPr>
          <w:rFonts w:cstheme="minorHAnsi"/>
          <w:sz w:val="18"/>
          <w:szCs w:val="18"/>
        </w:rPr>
        <w:t>”</w:t>
      </w:r>
      <w:r w:rsidRPr="00957253">
        <w:rPr>
          <w:rFonts w:cstheme="minorHAnsi"/>
          <w:sz w:val="18"/>
          <w:szCs w:val="18"/>
        </w:rPr>
        <w:t xml:space="preserve"> no Azure 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006A4042" w14:textId="77777777" w:rsidR="00745257" w:rsidRPr="00957253" w:rsidRDefault="00745257" w:rsidP="00745257">
      <w:pPr>
        <w:spacing w:after="0" w:line="240" w:lineRule="auto"/>
        <w:rPr>
          <w:rFonts w:cstheme="minorHAnsi"/>
          <w:sz w:val="18"/>
          <w:szCs w:val="18"/>
        </w:rPr>
      </w:pPr>
      <w:r w:rsidRPr="00957253">
        <w:rPr>
          <w:rFonts w:cstheme="minorHAnsi"/>
          <w:sz w:val="18"/>
          <w:szCs w:val="18"/>
        </w:rPr>
        <w:t xml:space="preserve">A </w:t>
      </w:r>
      <w:r>
        <w:rPr>
          <w:rFonts w:cstheme="minorHAnsi"/>
          <w:sz w:val="18"/>
          <w:szCs w:val="18"/>
        </w:rPr>
        <w:t>“</w:t>
      </w:r>
      <w:r w:rsidRPr="00957253">
        <w:rPr>
          <w:rFonts w:cstheme="minorHAnsi"/>
          <w:b/>
          <w:color w:val="00188F"/>
          <w:sz w:val="18"/>
          <w:szCs w:val="18"/>
        </w:rPr>
        <w:t>Instância Única</w:t>
      </w:r>
      <w:r>
        <w:rPr>
          <w:rFonts w:cstheme="minorHAnsi"/>
          <w:sz w:val="18"/>
          <w:szCs w:val="18"/>
        </w:rPr>
        <w:t>”</w:t>
      </w:r>
      <w:r w:rsidRPr="00957253">
        <w:rPr>
          <w:rFonts w:cstheme="minorHAnsi"/>
          <w:sz w:val="18"/>
          <w:szCs w:val="18"/>
        </w:rPr>
        <w:t xml:space="preserve"> é definida como qualquer máquina da Instância de Grande Dimensão do Microsoft SAP HANA no Azure que não esteja implementada num Par de Elevada Disponibilidade.</w:t>
      </w:r>
    </w:p>
    <w:p w14:paraId="53D07323" w14:textId="77777777" w:rsidR="00745257" w:rsidRPr="00522FF8" w:rsidRDefault="00745257" w:rsidP="00745257">
      <w:pPr>
        <w:spacing w:after="0" w:line="240" w:lineRule="auto"/>
        <w:rPr>
          <w:b/>
          <w:color w:val="00188F"/>
          <w:sz w:val="18"/>
        </w:rPr>
      </w:pPr>
      <w:r>
        <w:rPr>
          <w:b/>
          <w:color w:val="00188F"/>
          <w:sz w:val="18"/>
        </w:rPr>
        <w:t>Cálculo do Período de Disponibilidade e Níveis de Serviço para o Par de Elevada Disponibilidade do SAP HANA no Azure</w:t>
      </w:r>
    </w:p>
    <w:p w14:paraId="7EDDEB0D" w14:textId="77777777" w:rsidR="00745257" w:rsidRPr="0069715D" w:rsidRDefault="00745257" w:rsidP="00745257">
      <w:pPr>
        <w:spacing w:after="0" w:line="240" w:lineRule="auto"/>
        <w:ind w:left="720"/>
        <w:rPr>
          <w:sz w:val="18"/>
        </w:rPr>
      </w:pPr>
      <w:r>
        <w:rPr>
          <w:sz w:val="18"/>
        </w:rPr>
        <w:t>“</w:t>
      </w:r>
      <w:r>
        <w:rPr>
          <w:b/>
          <w:color w:val="0072C6"/>
          <w:sz w:val="18"/>
        </w:rPr>
        <w:t>Máximo de Minutos Disponíveis</w:t>
      </w:r>
      <w:r>
        <w:rPr>
          <w:sz w:val="18"/>
        </w:rPr>
        <w:t>”</w:t>
      </w:r>
      <w:r>
        <w:rPr>
          <w:sz w:val="18"/>
          <w:szCs w:val="18"/>
        </w:rPr>
        <w:t xml:space="preserve"> </w:t>
      </w:r>
      <w:r>
        <w:rPr>
          <w:sz w:val="18"/>
        </w:rPr>
        <w:t>designa o total de minutos acumulados durante um Período Aplicável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228F5872" w14:textId="77777777" w:rsidR="00745257" w:rsidRPr="0069715D" w:rsidRDefault="00745257" w:rsidP="00745257">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w:t>
      </w:r>
    </w:p>
    <w:p w14:paraId="7040D7AA" w14:textId="77777777" w:rsidR="00745257" w:rsidRDefault="00745257" w:rsidP="00745257">
      <w:pPr>
        <w:pStyle w:val="ProductList-Body"/>
        <w:ind w:left="720"/>
      </w:pPr>
      <w:r>
        <w:rPr>
          <w:b/>
          <w:color w:val="0072C6"/>
        </w:rPr>
        <w:t>Percentagem de Período de Disponibilidade</w:t>
      </w:r>
      <w:r w:rsidRPr="00473DD3">
        <w:rPr>
          <w:b/>
          <w:color w:val="0072C6"/>
        </w:rPr>
        <w:t>:</w:t>
      </w:r>
      <w:r>
        <w:t xml:space="preserve"> A Percentagem de Período de Disponibilidade para o Par de Elevada Disponibilidade do SAP HANA no Azure é calculada com a seguinte fórmula:</w:t>
      </w:r>
    </w:p>
    <w:p w14:paraId="64951CAF" w14:textId="77777777" w:rsidR="00745257" w:rsidRPr="000A6233" w:rsidRDefault="00000000" w:rsidP="00D67D10">
      <w:pPr>
        <w:pStyle w:val="ListParagraph"/>
        <w:spacing w:before="120" w:after="120" w:line="240" w:lineRule="auto"/>
        <w:ind w:left="1440"/>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AE2B66" w14:textId="77777777" w:rsidR="000A6233" w:rsidRDefault="000A6233" w:rsidP="000A6233">
      <w:pPr>
        <w:pStyle w:val="ProductList-Body"/>
        <w:keepNext/>
        <w:keepLines/>
        <w:ind w:left="720"/>
      </w:pPr>
      <w:r>
        <w:rPr>
          <w:b/>
          <w:color w:val="00188F"/>
        </w:rPr>
        <w:t>Crédito de Serviço para o Par de Elevada Disponibilidade do SAP HANA no Azure</w:t>
      </w:r>
      <w:r w:rsidRPr="00473DD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0A6233" w:rsidRPr="00B44CF9" w14:paraId="329A53D7" w14:textId="77777777" w:rsidTr="006F6E13">
        <w:trPr>
          <w:trHeight w:val="235"/>
          <w:tblHeader/>
        </w:trPr>
        <w:tc>
          <w:tcPr>
            <w:tcW w:w="5040" w:type="dxa"/>
            <w:shd w:val="clear" w:color="auto" w:fill="0072C6"/>
          </w:tcPr>
          <w:p w14:paraId="26C3953D" w14:textId="77777777" w:rsidR="000A6233" w:rsidRPr="001A0074"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shd w:val="clear" w:color="auto" w:fill="0072C6"/>
          </w:tcPr>
          <w:p w14:paraId="38410CF1" w14:textId="77777777" w:rsidR="000A6233" w:rsidRPr="001A0074"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638CDDC5" w14:textId="77777777" w:rsidTr="006F6E13">
        <w:trPr>
          <w:trHeight w:val="235"/>
        </w:trPr>
        <w:tc>
          <w:tcPr>
            <w:tcW w:w="5040" w:type="dxa"/>
          </w:tcPr>
          <w:p w14:paraId="658F3439" w14:textId="77777777" w:rsidR="000A6233" w:rsidRPr="0076238C" w:rsidRDefault="000A6233" w:rsidP="006F6E13">
            <w:pPr>
              <w:pStyle w:val="ProductList-OfferingBody"/>
              <w:jc w:val="center"/>
            </w:pPr>
            <w:r>
              <w:t>&lt; 99,99%</w:t>
            </w:r>
          </w:p>
        </w:tc>
        <w:tc>
          <w:tcPr>
            <w:tcW w:w="4950" w:type="dxa"/>
          </w:tcPr>
          <w:p w14:paraId="41D355BC" w14:textId="77777777" w:rsidR="000A6233" w:rsidRPr="0076238C" w:rsidRDefault="000A6233" w:rsidP="006F6E13">
            <w:pPr>
              <w:pStyle w:val="ProductList-OfferingBody"/>
              <w:jc w:val="center"/>
            </w:pPr>
            <w:r>
              <w:t>10%</w:t>
            </w:r>
          </w:p>
        </w:tc>
      </w:tr>
      <w:tr w:rsidR="000A6233" w:rsidRPr="00B44CF9" w14:paraId="6616EDF0" w14:textId="77777777" w:rsidTr="006F6E13">
        <w:trPr>
          <w:trHeight w:val="236"/>
        </w:trPr>
        <w:tc>
          <w:tcPr>
            <w:tcW w:w="5040" w:type="dxa"/>
          </w:tcPr>
          <w:p w14:paraId="2E24AB8E" w14:textId="77777777" w:rsidR="000A6233" w:rsidRPr="0076238C" w:rsidRDefault="000A6233" w:rsidP="006F6E13">
            <w:pPr>
              <w:pStyle w:val="ProductList-OfferingBody"/>
              <w:jc w:val="center"/>
            </w:pPr>
            <w:r>
              <w:t>&lt; 99,9%</w:t>
            </w:r>
          </w:p>
        </w:tc>
        <w:tc>
          <w:tcPr>
            <w:tcW w:w="4950" w:type="dxa"/>
          </w:tcPr>
          <w:p w14:paraId="4FD62A05" w14:textId="77777777" w:rsidR="000A6233" w:rsidRPr="0076238C" w:rsidRDefault="000A6233" w:rsidP="006F6E13">
            <w:pPr>
              <w:pStyle w:val="ProductList-OfferingBody"/>
              <w:jc w:val="center"/>
            </w:pPr>
            <w:r>
              <w:t>25%</w:t>
            </w:r>
          </w:p>
        </w:tc>
      </w:tr>
    </w:tbl>
    <w:p w14:paraId="18B2EE26" w14:textId="77777777" w:rsidR="000A6233" w:rsidRPr="00F60A8A" w:rsidRDefault="000A6233" w:rsidP="000A6233">
      <w:pPr>
        <w:spacing w:before="120" w:after="0" w:line="240" w:lineRule="auto"/>
        <w:rPr>
          <w:b/>
          <w:color w:val="00188F"/>
          <w:sz w:val="18"/>
        </w:rPr>
      </w:pPr>
      <w:r>
        <w:rPr>
          <w:b/>
          <w:color w:val="00188F"/>
          <w:sz w:val="18"/>
        </w:rPr>
        <w:t>Cálculo do Período de Disponibilidade e Níveis de Serviço para a Instância Única do SAP HANA no Azure</w:t>
      </w:r>
    </w:p>
    <w:p w14:paraId="2366F91B" w14:textId="77777777" w:rsidR="000A6233" w:rsidRDefault="000A6233" w:rsidP="000A6233">
      <w:pPr>
        <w:spacing w:after="0" w:line="240" w:lineRule="auto"/>
        <w:ind w:left="720"/>
        <w:rPr>
          <w:sz w:val="18"/>
        </w:rPr>
      </w:pPr>
      <w:r>
        <w:rPr>
          <w:sz w:val="18"/>
        </w:rPr>
        <w:t>“</w:t>
      </w:r>
      <w:r>
        <w:rPr>
          <w:b/>
          <w:color w:val="0072C6"/>
          <w:sz w:val="18"/>
        </w:rPr>
        <w:t>Máximo de Minutos Disponíveis</w:t>
      </w:r>
      <w:r>
        <w:rPr>
          <w:sz w:val="18"/>
        </w:rPr>
        <w:t xml:space="preserve">” designa o total de minutos acumulados para todas as Instâncias Únicas do SAP HANA no Azure implementadas pelo Cliente, durante um Período Aplicável, para uma determinada subscrição do Microsoft Azure. </w:t>
      </w:r>
    </w:p>
    <w:p w14:paraId="406F375B" w14:textId="77777777" w:rsidR="000A6233" w:rsidRDefault="000A6233" w:rsidP="000A6233">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 O Período de Indisponibilidade exclui a Manutenção da Instância Única Anunciada.</w:t>
      </w:r>
    </w:p>
    <w:p w14:paraId="05AB80E5" w14:textId="77777777" w:rsidR="000A6233" w:rsidRDefault="000A6233" w:rsidP="000A6233">
      <w:pPr>
        <w:spacing w:after="0" w:line="240" w:lineRule="auto"/>
        <w:ind w:left="720"/>
        <w:rPr>
          <w:sz w:val="18"/>
        </w:rPr>
      </w:pPr>
      <w:r>
        <w:rPr>
          <w:b/>
          <w:color w:val="0072C6"/>
          <w:sz w:val="18"/>
        </w:rPr>
        <w:t>Percentagem de Período de Disponibilidade</w:t>
      </w:r>
      <w:r>
        <w:rPr>
          <w:b/>
          <w:color w:val="00188F"/>
          <w:sz w:val="18"/>
        </w:rPr>
        <w:t>:</w:t>
      </w:r>
      <w:r>
        <w:rPr>
          <w:sz w:val="18"/>
        </w:rPr>
        <w:t xml:space="preserve"> A Percentagem de Período de Disponibilidade para a Instância Única do SAP HANA no Azure é calculada com a seguinte fórmula</w:t>
      </w:r>
    </w:p>
    <w:p w14:paraId="04962158" w14:textId="77777777" w:rsidR="000A6233" w:rsidRDefault="00000000" w:rsidP="00D67D10">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89DB6D" w14:textId="77777777" w:rsidR="000A6233" w:rsidRPr="00957253" w:rsidRDefault="000A6233" w:rsidP="000A6233">
      <w:pPr>
        <w:spacing w:after="0" w:line="240" w:lineRule="auto"/>
        <w:ind w:left="720"/>
        <w:rPr>
          <w:spacing w:val="-2"/>
          <w:sz w:val="18"/>
        </w:rPr>
      </w:pPr>
      <w:r w:rsidRPr="001B0E4C">
        <w:rPr>
          <w:b/>
          <w:color w:val="00188F"/>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0A6233" w:rsidRPr="00B44CF9" w14:paraId="4F34B03E" w14:textId="77777777" w:rsidTr="006F6E1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B3AFC0" w14:textId="77777777" w:rsidR="000A6233"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6A39B5" w14:textId="77777777" w:rsidR="000A6233"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5A724907" w14:textId="77777777" w:rsidTr="006F6E1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A0C0C" w14:textId="77777777" w:rsidR="000A6233" w:rsidRDefault="000A6233" w:rsidP="006F6E13">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CF3D0" w14:textId="77777777" w:rsidR="000A6233" w:rsidRDefault="000A6233" w:rsidP="006F6E13">
            <w:pPr>
              <w:pStyle w:val="ProductList-OfferingBody"/>
              <w:jc w:val="center"/>
            </w:pPr>
            <w:r>
              <w:t>10%</w:t>
            </w:r>
          </w:p>
        </w:tc>
      </w:tr>
      <w:tr w:rsidR="000A6233" w:rsidRPr="00B44CF9" w14:paraId="1E94187D"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882E8" w14:textId="77777777" w:rsidR="000A6233" w:rsidRDefault="000A6233" w:rsidP="006F6E13">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2F7AA" w14:textId="77777777" w:rsidR="000A6233" w:rsidRDefault="000A6233" w:rsidP="006F6E13">
            <w:pPr>
              <w:pStyle w:val="ProductList-OfferingBody"/>
              <w:jc w:val="center"/>
            </w:pPr>
            <w:r>
              <w:t>25%</w:t>
            </w:r>
          </w:p>
        </w:tc>
      </w:tr>
      <w:tr w:rsidR="000A6233" w:rsidRPr="00B44CF9" w14:paraId="01ED675C"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442F" w14:textId="77777777" w:rsidR="000A6233" w:rsidRDefault="000A6233" w:rsidP="006F6E13">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09192" w14:textId="77777777" w:rsidR="000A6233" w:rsidRDefault="000A6233" w:rsidP="006F6E13">
            <w:pPr>
              <w:pStyle w:val="ProductList-OfferingBody"/>
              <w:jc w:val="center"/>
            </w:pPr>
            <w:r>
              <w:t>100%</w:t>
            </w:r>
          </w:p>
        </w:tc>
      </w:tr>
    </w:tbl>
    <w:bookmarkStart w:id="362" w:name="_Toc457821569"/>
    <w:bookmarkStart w:id="363" w:name="_Toc52348979"/>
    <w:p w14:paraId="0BA2D552" w14:textId="77777777" w:rsidR="000A6233" w:rsidRPr="00EF7CF9" w:rsidRDefault="000A6233"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E544E" w14:textId="77777777" w:rsidR="000A6233" w:rsidRPr="00EF7CF9" w:rsidRDefault="000A6233" w:rsidP="000A6233">
      <w:pPr>
        <w:pStyle w:val="ProductList-Offering2Heading"/>
        <w:keepNext/>
        <w:keepLines/>
        <w:tabs>
          <w:tab w:val="clear" w:pos="360"/>
          <w:tab w:val="clear" w:pos="720"/>
          <w:tab w:val="clear" w:pos="1080"/>
        </w:tabs>
        <w:outlineLvl w:val="2"/>
      </w:pPr>
      <w:bookmarkStart w:id="364" w:name="_Toc214456864"/>
      <w:r>
        <w:t>Scheduler</w:t>
      </w:r>
      <w:bookmarkEnd w:id="362"/>
      <w:bookmarkEnd w:id="363"/>
      <w:bookmarkEnd w:id="364"/>
    </w:p>
    <w:p w14:paraId="6C54F091" w14:textId="77777777" w:rsidR="000A6233" w:rsidRPr="00EF7CF9" w:rsidRDefault="000A6233" w:rsidP="000A6233">
      <w:pPr>
        <w:pStyle w:val="ProductList-Body"/>
        <w:keepNext/>
        <w:keepLines/>
      </w:pPr>
      <w:r>
        <w:rPr>
          <w:b/>
          <w:color w:val="00188F"/>
        </w:rPr>
        <w:t>Definições Adicionais</w:t>
      </w:r>
      <w:r w:rsidRPr="00473DD3">
        <w:rPr>
          <w:b/>
          <w:color w:val="00188F"/>
        </w:rPr>
        <w:t>:</w:t>
      </w:r>
    </w:p>
    <w:p w14:paraId="119DDD20" w14:textId="77777777" w:rsidR="000A6233" w:rsidRPr="00EF7CF9" w:rsidRDefault="000A6233" w:rsidP="000A6233">
      <w:pPr>
        <w:pStyle w:val="ProductList-Body"/>
        <w:keepNext/>
        <w:keepLines/>
      </w:pPr>
      <w:r>
        <w:t>“</w:t>
      </w:r>
      <w:r>
        <w:rPr>
          <w:b/>
          <w:color w:val="00188F"/>
        </w:rPr>
        <w:t>Máximo de Minutos Disponíveis</w:t>
      </w:r>
      <w:r>
        <w:t>” designa o número total de minutos num Período Aplicável.</w:t>
      </w:r>
    </w:p>
    <w:p w14:paraId="7038C2B4" w14:textId="77777777" w:rsidR="000A6233" w:rsidRPr="00EF7CF9" w:rsidRDefault="000A6233" w:rsidP="000A6233">
      <w:pPr>
        <w:pStyle w:val="ProductList-Body"/>
        <w:keepNext/>
        <w:keepLines/>
      </w:pPr>
      <w:r>
        <w:t>A “</w:t>
      </w:r>
      <w:r>
        <w:rPr>
          <w:b/>
          <w:color w:val="00188F"/>
        </w:rPr>
        <w:t>Hora de Execução Planeada</w:t>
      </w:r>
      <w:r>
        <w:t>” é a hora a que uma Tarefa Agendada está agendada para iniciar a execução.</w:t>
      </w:r>
    </w:p>
    <w:p w14:paraId="4C92686E" w14:textId="77777777" w:rsidR="000A6233" w:rsidRPr="00EF7CF9" w:rsidRDefault="000A6233" w:rsidP="000A6233">
      <w:pPr>
        <w:pStyle w:val="ProductList-Body"/>
      </w:pPr>
      <w:r>
        <w:t>“</w:t>
      </w:r>
      <w:r>
        <w:rPr>
          <w:b/>
          <w:color w:val="00188F"/>
        </w:rPr>
        <w:t>Tarefa Agendada</w:t>
      </w:r>
      <w:r>
        <w:t>” designa uma ação especificada pelo Cliente para ser executada no Microsoft Azure de acordo com uma agenda especificada.</w:t>
      </w:r>
    </w:p>
    <w:p w14:paraId="27BD1350" w14:textId="77777777" w:rsidR="000A6233" w:rsidRPr="00EF7CF9" w:rsidRDefault="000A6233" w:rsidP="000A6233">
      <w:pPr>
        <w:pStyle w:val="ProductList-Body"/>
      </w:pPr>
      <w:r>
        <w:rPr>
          <w:b/>
          <w:color w:val="00188F"/>
        </w:rPr>
        <w:t>Período de Indisponibilidade</w:t>
      </w:r>
      <w:r w:rsidRPr="00473DD3">
        <w:rPr>
          <w:b/>
          <w:color w:val="00188F"/>
        </w:rPr>
        <w:t>:</w:t>
      </w:r>
      <w:r>
        <w:t xml:space="preserve"> O total de minutos acumulados num Período Aplicável durante 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Período de Indisponibilidade caso a Tarefa Agendada comece a execução num prazo de trinta (30) minutos a seguir a uma Hora de Execução Planeada.</w:t>
      </w:r>
    </w:p>
    <w:p w14:paraId="1B9AA541" w14:textId="77777777" w:rsidR="000A6233" w:rsidRPr="00EF7CF9" w:rsidRDefault="000A6233" w:rsidP="000A6233">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A621C38" w14:textId="77777777" w:rsidR="000A6233" w:rsidRPr="00EF7CF9" w:rsidRDefault="00000000" w:rsidP="00CB3B0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E15666" w14:textId="77777777" w:rsidR="000A6233" w:rsidRPr="00EF7CF9" w:rsidRDefault="000A6233" w:rsidP="001B0E4C">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A6233" w:rsidRPr="00B44CF9" w14:paraId="279350FD" w14:textId="77777777" w:rsidTr="006F6E13">
        <w:trPr>
          <w:tblHeader/>
        </w:trPr>
        <w:tc>
          <w:tcPr>
            <w:tcW w:w="5400" w:type="dxa"/>
            <w:shd w:val="clear" w:color="auto" w:fill="0072C6"/>
          </w:tcPr>
          <w:p w14:paraId="3FBC80E3" w14:textId="77777777" w:rsidR="000A6233" w:rsidRPr="00EF7CF9" w:rsidRDefault="000A6233"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A96BA4" w14:textId="77777777" w:rsidR="000A6233" w:rsidRPr="00EF7CF9"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79216E0E" w14:textId="77777777" w:rsidTr="006F6E13">
        <w:tc>
          <w:tcPr>
            <w:tcW w:w="5400" w:type="dxa"/>
          </w:tcPr>
          <w:p w14:paraId="5996CEA7" w14:textId="77777777" w:rsidR="000A6233" w:rsidRPr="00EF7CF9" w:rsidRDefault="000A6233" w:rsidP="006F6E13">
            <w:pPr>
              <w:pStyle w:val="ProductList-OfferingBody"/>
              <w:jc w:val="center"/>
            </w:pPr>
            <w:r>
              <w:t>&lt; 99,9%</w:t>
            </w:r>
          </w:p>
        </w:tc>
        <w:tc>
          <w:tcPr>
            <w:tcW w:w="5400" w:type="dxa"/>
          </w:tcPr>
          <w:p w14:paraId="0982C738" w14:textId="77777777" w:rsidR="000A6233" w:rsidRPr="00EF7CF9" w:rsidRDefault="000A6233" w:rsidP="006F6E13">
            <w:pPr>
              <w:pStyle w:val="ProductList-OfferingBody"/>
              <w:jc w:val="center"/>
            </w:pPr>
            <w:r>
              <w:t>10%</w:t>
            </w:r>
          </w:p>
        </w:tc>
      </w:tr>
      <w:tr w:rsidR="000A6233" w:rsidRPr="00B44CF9" w14:paraId="02D5381F" w14:textId="77777777" w:rsidTr="006F6E13">
        <w:tc>
          <w:tcPr>
            <w:tcW w:w="5400" w:type="dxa"/>
          </w:tcPr>
          <w:p w14:paraId="12881091" w14:textId="77777777" w:rsidR="000A6233" w:rsidRPr="00EF7CF9" w:rsidRDefault="000A6233" w:rsidP="006F6E13">
            <w:pPr>
              <w:pStyle w:val="ProductList-OfferingBody"/>
              <w:jc w:val="center"/>
            </w:pPr>
            <w:r>
              <w:t>&lt; 99%</w:t>
            </w:r>
          </w:p>
        </w:tc>
        <w:tc>
          <w:tcPr>
            <w:tcW w:w="5400" w:type="dxa"/>
          </w:tcPr>
          <w:p w14:paraId="08F0395C" w14:textId="77777777" w:rsidR="000A6233" w:rsidRPr="00EF7CF9" w:rsidRDefault="000A6233" w:rsidP="006F6E13">
            <w:pPr>
              <w:pStyle w:val="ProductList-OfferingBody"/>
              <w:jc w:val="center"/>
            </w:pPr>
            <w:r>
              <w:t>25%</w:t>
            </w:r>
          </w:p>
        </w:tc>
      </w:tr>
    </w:tbl>
    <w:p w14:paraId="48D6AB7E" w14:textId="77777777" w:rsidR="000A6233" w:rsidRPr="00EF7CF9" w:rsidRDefault="000A6233"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551E196" w14:textId="73701538" w:rsidR="008A01B3" w:rsidRPr="00EF7CF9" w:rsidRDefault="008A01B3" w:rsidP="00F01ED6">
      <w:pPr>
        <w:pStyle w:val="ProductList-Offering2Heading"/>
        <w:tabs>
          <w:tab w:val="clear" w:pos="360"/>
          <w:tab w:val="clear" w:pos="720"/>
          <w:tab w:val="clear" w:pos="1080"/>
        </w:tabs>
        <w:outlineLvl w:val="2"/>
      </w:pPr>
      <w:bookmarkStart w:id="365" w:name="_Toc457821574"/>
      <w:bookmarkStart w:id="366" w:name="_Toc52348984"/>
      <w:bookmarkStart w:id="367" w:name="_Toc214456865"/>
      <w:bookmarkStart w:id="368" w:name="ServiceBusServiceRelays"/>
      <w:bookmarkEnd w:id="359"/>
      <w:bookmarkEnd w:id="360"/>
      <w:r>
        <w:t>Barramento de Serviço</w:t>
      </w:r>
      <w:bookmarkEnd w:id="365"/>
      <w:bookmarkEnd w:id="366"/>
      <w:bookmarkEnd w:id="367"/>
    </w:p>
    <w:bookmarkEnd w:id="368"/>
    <w:p w14:paraId="0147F982" w14:textId="77777777" w:rsidR="008A01B3" w:rsidRPr="00EF7CF9" w:rsidRDefault="008A01B3" w:rsidP="00F01ED6">
      <w:pPr>
        <w:pStyle w:val="ProductList-Body"/>
      </w:pPr>
      <w:r>
        <w:rPr>
          <w:b/>
          <w:color w:val="00188F"/>
        </w:rPr>
        <w:t>Definições Adicionais</w:t>
      </w:r>
      <w:r w:rsidRPr="00473DD3">
        <w:rPr>
          <w:b/>
          <w:color w:val="00188F"/>
        </w:rPr>
        <w:t>:</w:t>
      </w:r>
    </w:p>
    <w:p w14:paraId="0FB8ACCD"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bookmarkStart w:id="369" w:name="_Toc526859711"/>
      <w:bookmarkStart w:id="370" w:name="_Toc52348985"/>
      <w:bookmarkStart w:id="371" w:name="_Toc457821577"/>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Mensagem</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qualquer conteúdo definido pelo utilizador que seja enviado ou recebido através de Reencaminhamentos de Barramento de Serviço, Filas ou Tópicos e que utilize qualquer protocolo suportado pelo Barramento de Serviço.</w:t>
      </w:r>
    </w:p>
    <w:p w14:paraId="3ACA012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5E3044">
        <w:rPr>
          <w:rFonts w:ascii="Calibri" w:eastAsia="Calibri" w:hAnsi="Calibri" w:cs="Arial"/>
          <w:sz w:val="18"/>
        </w:rPr>
        <w:t xml:space="preserve">Os </w:t>
      </w: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Espaços de Nomes Particionados</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permite que as entidades de mensagens sejam divididas entre vários mediadores de mensagens para aumentar o débito global.</w:t>
      </w:r>
    </w:p>
    <w:p w14:paraId="7299FB7E" w14:textId="77777777" w:rsidR="00BD46E6"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Zona de Disponibilidade</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uma área isolada de falhas numa região do Azure que providencia alimentação, refrigeração e rede redundantes.</w:t>
      </w:r>
    </w:p>
    <w:p w14:paraId="7DCB951B" w14:textId="77777777" w:rsidR="008B030A" w:rsidRPr="00202E1D" w:rsidRDefault="008B030A" w:rsidP="008B030A">
      <w:pPr>
        <w:keepNext/>
        <w:spacing w:after="0" w:line="240" w:lineRule="auto"/>
        <w:rPr>
          <w:rFonts w:ascii="Calibri" w:eastAsia="Calibri" w:hAnsi="Calibri" w:cs="Arial"/>
          <w:b/>
          <w:color w:val="00188F"/>
          <w:sz w:val="18"/>
        </w:rPr>
      </w:pPr>
      <w:r>
        <w:rPr>
          <w:rFonts w:ascii="Calibri" w:eastAsia="Calibri" w:hAnsi="Calibri" w:cs="Arial"/>
          <w:b/>
          <w:color w:val="00188F"/>
          <w:sz w:val="18"/>
        </w:rPr>
        <w:t>Cálculo do Período de Disponibilidade e Níveis de Serviço para Filas e Tópicos em todas as camadas implementadas sem espaços de nomes particionados</w:t>
      </w:r>
    </w:p>
    <w:p w14:paraId="06242991" w14:textId="77777777" w:rsidR="008B030A" w:rsidRPr="00202E1D" w:rsidRDefault="008B030A" w:rsidP="008B030A">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4C060D">
        <w:rPr>
          <w:rFonts w:ascii="Calibri" w:eastAsia="Calibri" w:hAnsi="Calibri" w:cs="Arial"/>
          <w:b/>
          <w:bCs/>
          <w:color w:val="00188F"/>
          <w:sz w:val="18"/>
          <w:bdr w:val="none" w:sz="0" w:space="0" w:color="auto" w:frame="1"/>
        </w:rPr>
        <w:t>:</w:t>
      </w:r>
    </w:p>
    <w:p w14:paraId="4E7AFCF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o número total de minutos durante os quais um determinado Tópico ou Fila foi implementado no Microsoft Azure durante um Período Aplicável.</w:t>
      </w:r>
    </w:p>
    <w:p w14:paraId="5F465F6C"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a soma de todos os Minutos de Implementação em todos os Tópicos e Filas implementados pelo Cliente numa determinada subscrição do Microsoft Azure durante um Período Aplicável.</w:t>
      </w:r>
    </w:p>
    <w:p w14:paraId="29C7A31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Período de Indisponibilidade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6AC7FED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para Filas e Tópicos é calculada como o Máximo de Minutos Disponíveis menos o Período de Indisponibilidade a dividir pelo Máximo de Minutos Disponíveis num Período Aplicável para uma determinada subscrição do Microsoft Azure.</w:t>
      </w:r>
    </w:p>
    <w:p w14:paraId="15898B3A"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Percentagem de Período de Disponibilidade é representada pela seguinte fórmula:</w:t>
      </w:r>
    </w:p>
    <w:p w14:paraId="4C5B957E" w14:textId="77777777" w:rsidR="00BD46E6" w:rsidRPr="00202E1D" w:rsidRDefault="00000000" w:rsidP="00CB3B01">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5E0958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à utilização de Filas e Tópicos por parte do Cliente em todas as camadas implementadas sem espaços de nomes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5E60380D" w14:textId="77777777" w:rsidTr="00995E56">
        <w:trPr>
          <w:tblHeader/>
        </w:trPr>
        <w:tc>
          <w:tcPr>
            <w:tcW w:w="5400" w:type="dxa"/>
            <w:shd w:val="clear" w:color="auto" w:fill="0072C6"/>
          </w:tcPr>
          <w:p w14:paraId="73D4E75B"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49BC784F"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52E389B0" w14:textId="77777777" w:rsidTr="00995E56">
        <w:tc>
          <w:tcPr>
            <w:tcW w:w="5400" w:type="dxa"/>
          </w:tcPr>
          <w:p w14:paraId="2C5344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116E6348"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00071BE5" w14:textId="77777777" w:rsidTr="00995E56">
        <w:tc>
          <w:tcPr>
            <w:tcW w:w="5400" w:type="dxa"/>
          </w:tcPr>
          <w:p w14:paraId="7E25F82E"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1AEF55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BC5DB63" w14:textId="77777777" w:rsidR="00BD46E6" w:rsidRPr="00202E1D" w:rsidRDefault="00BD46E6" w:rsidP="004A3858">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lastRenderedPageBreak/>
        <w:t>Cálculo do Período de Disponibilidade e Níveis de Serviço para Filas e Tópicos na camada Premium implementados com espaços de nomes particionados em regiões com suporte da Zona de Disponibilidade</w:t>
      </w:r>
    </w:p>
    <w:p w14:paraId="607E2B79" w14:textId="77777777" w:rsidR="00BD46E6" w:rsidRPr="00202E1D" w:rsidRDefault="00BD46E6" w:rsidP="00BD46E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4C060D">
        <w:rPr>
          <w:rFonts w:ascii="Calibri" w:eastAsia="Calibri" w:hAnsi="Calibri" w:cs="Arial"/>
          <w:b/>
          <w:bCs/>
          <w:color w:val="00188F"/>
          <w:sz w:val="18"/>
          <w:bdr w:val="none" w:sz="0" w:space="0" w:color="auto" w:frame="1"/>
        </w:rPr>
        <w:t>:</w:t>
      </w:r>
    </w:p>
    <w:p w14:paraId="6356A582"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o número total de minutos durante os quais um determinado Tópico ou Fila foi implementado no Microsoft Azure durante um Período Aplicável.</w:t>
      </w:r>
    </w:p>
    <w:p w14:paraId="0E18634A"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a soma de todos os Minutos de Implementação em todos os Tópicos e Filas implementados pelo Cliente numa determinada subscrição do Microsoft Azure durante um Período Aplicável.</w:t>
      </w:r>
    </w:p>
    <w:p w14:paraId="58A5D969"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Período de Indisponibilidade:</w:t>
      </w:r>
      <w:r>
        <w:rPr>
          <w:rFonts w:ascii="Calibri" w:eastAsia="Calibri" w:hAnsi="Calibri" w:cs="Arial"/>
          <w:color w:val="000000"/>
          <w:sz w:val="18"/>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6D926E9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para Filas e Tópicos é calculada como o Máximo de Minutos Disponíveis menos o Período de Indisponibilidade a dividir pelo Máximo de Minutos Disponíveis num Período Aplicável para uma determinada subscrição do Microsoft Azure.</w:t>
      </w:r>
    </w:p>
    <w:p w14:paraId="25A91103"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Percentagem de Período de Disponibilidade é representada pela seguinte fórmula:</w:t>
      </w:r>
    </w:p>
    <w:p w14:paraId="79A6FBFE" w14:textId="77777777" w:rsidR="00BD46E6" w:rsidRPr="00202E1D" w:rsidRDefault="00000000" w:rsidP="00F92EA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1873C4B"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à utilização de Filas e Tópicos por parte do Cliente na camada Premium implementada com espaços de nomes particionados em regiões com suporte de Zona de Disponibilidade</w:t>
      </w:r>
      <w:r w:rsidRPr="004C060D">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21E193B8" w14:textId="77777777" w:rsidTr="00995E56">
        <w:trPr>
          <w:tblHeader/>
        </w:trPr>
        <w:tc>
          <w:tcPr>
            <w:tcW w:w="5400" w:type="dxa"/>
            <w:shd w:val="clear" w:color="auto" w:fill="0072C6"/>
          </w:tcPr>
          <w:p w14:paraId="5C20D0E0"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71FA1416"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6101A9E3" w14:textId="77777777" w:rsidTr="00995E56">
        <w:tc>
          <w:tcPr>
            <w:tcW w:w="5400" w:type="dxa"/>
          </w:tcPr>
          <w:p w14:paraId="65ECB9E8"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45A4DEBC"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2B988A34" w14:textId="77777777" w:rsidTr="00995E56">
        <w:tc>
          <w:tcPr>
            <w:tcW w:w="5400" w:type="dxa"/>
          </w:tcPr>
          <w:p w14:paraId="17DF5045"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D1722A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D25EDF4" w14:textId="77777777" w:rsidR="00BD46E6" w:rsidRPr="00202E1D" w:rsidRDefault="00BD46E6" w:rsidP="00BD46E6">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Período de Disponibilidade e Níveis de Serviço para Reencaminhamentos</w:t>
      </w:r>
    </w:p>
    <w:p w14:paraId="432696D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o número total de minutos durante os quais um determinado Reencaminhamento foi implementado no Microsoft Azure durante um Período Aplicável.</w:t>
      </w:r>
    </w:p>
    <w:p w14:paraId="3A7475FD"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a soma de todos os Minutos de Implementação em todos os Reencaminhamentos implementados pelo Cliente numa determinada subscrição do Microsoft Azure durante um Período Aplicável.</w:t>
      </w:r>
    </w:p>
    <w:p w14:paraId="20DF4F3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Período de Indisponibilidade</w:t>
      </w:r>
      <w:r w:rsidRPr="004C060D">
        <w:rPr>
          <w:rFonts w:ascii="Calibri" w:eastAsia="Calibri" w:hAnsi="Calibri" w:cs="Arial"/>
          <w:b/>
          <w:bCs/>
          <w:color w:val="00188F"/>
          <w:sz w:val="18"/>
          <w:bdr w:val="none" w:sz="0" w:space="0" w:color="auto" w:frame="1"/>
        </w:rPr>
        <w:t>:</w:t>
      </w:r>
      <w:r>
        <w:rPr>
          <w:rFonts w:ascii="Calibri" w:eastAsia="Calibri" w:hAnsi="Calibri" w:cs="Arial"/>
          <w:sz w:val="18"/>
        </w:rP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31EFB951"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sz w:val="18"/>
        </w:rPr>
        <w:t xml:space="preserve"> A Percentagem de Período de Disponibilidade para os Reencaminhamentos é calculada como o Máximo de Minutos Disponíveis menos o Período de Indisponibilidade a dividir pelo Máximo de Minutos Disponíveis num Período Aplicável para uma determinada subscrição do Microsoft Azure.</w:t>
      </w:r>
    </w:p>
    <w:p w14:paraId="54A53051"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Percentagem de Período de Disponibilidade é representada pela seguinte fórmula:</w:t>
      </w:r>
    </w:p>
    <w:p w14:paraId="633A771B" w14:textId="77777777" w:rsidR="00BD46E6" w:rsidRPr="00202E1D" w:rsidRDefault="00000000" w:rsidP="00F92EA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095D49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Os seguintes Níveis de Serviço e Créditos de Serviço são aplicáveis à utilização que o Cliente faz dos Reencaminhamentos</w:t>
      </w:r>
      <w:r w:rsidRPr="004C060D">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2C68B8FC" w14:textId="77777777" w:rsidTr="00995E56">
        <w:trPr>
          <w:tblHeader/>
        </w:trPr>
        <w:tc>
          <w:tcPr>
            <w:tcW w:w="5400" w:type="dxa"/>
            <w:shd w:val="clear" w:color="auto" w:fill="0072C6"/>
          </w:tcPr>
          <w:p w14:paraId="1F0AA265"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7604ACDE"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38D13E59" w14:textId="77777777" w:rsidTr="00995E56">
        <w:tc>
          <w:tcPr>
            <w:tcW w:w="5400" w:type="dxa"/>
          </w:tcPr>
          <w:p w14:paraId="488D6A9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3F3B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0B911D06" w14:textId="77777777" w:rsidTr="00995E56">
        <w:tc>
          <w:tcPr>
            <w:tcW w:w="5400" w:type="dxa"/>
          </w:tcPr>
          <w:p w14:paraId="4E51C16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175B4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91328E0" w14:textId="77777777" w:rsidR="00BD46E6" w:rsidRPr="00202E1D" w:rsidRDefault="00BD46E6" w:rsidP="00BD46E6">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1BB21621" w14:textId="77777777" w:rsidR="008A01B3" w:rsidRPr="00EF7CF9" w:rsidRDefault="008A01B3" w:rsidP="00F01ED6">
      <w:pPr>
        <w:pStyle w:val="ProductList-Offering2Heading"/>
        <w:tabs>
          <w:tab w:val="clear" w:pos="360"/>
          <w:tab w:val="clear" w:pos="720"/>
          <w:tab w:val="clear" w:pos="1080"/>
        </w:tabs>
        <w:outlineLvl w:val="2"/>
      </w:pPr>
      <w:bookmarkStart w:id="372" w:name="_Toc214456866"/>
      <w:r>
        <w:t>Azure SignalR Service</w:t>
      </w:r>
      <w:bookmarkEnd w:id="369"/>
      <w:bookmarkEnd w:id="370"/>
      <w:bookmarkEnd w:id="372"/>
    </w:p>
    <w:p w14:paraId="1A07B706" w14:textId="77777777" w:rsidR="008A01B3" w:rsidRPr="0022248D" w:rsidRDefault="008A01B3" w:rsidP="00F01ED6">
      <w:pPr>
        <w:pStyle w:val="ProductList-Body"/>
        <w:rPr>
          <w:b/>
          <w:color w:val="00188F"/>
        </w:rPr>
      </w:pPr>
      <w:r>
        <w:rPr>
          <w:b/>
          <w:color w:val="00188F"/>
        </w:rPr>
        <w:t>Definições Adicionais</w:t>
      </w:r>
      <w:r w:rsidRPr="00473DD3">
        <w:rPr>
          <w:b/>
          <w:color w:val="00188F"/>
        </w:rPr>
        <w:t>:</w:t>
      </w:r>
    </w:p>
    <w:p w14:paraId="35051C26" w14:textId="1412DC0C" w:rsidR="008A01B3" w:rsidRPr="00B44CF9" w:rsidRDefault="00380305" w:rsidP="00F92EAF">
      <w:pPr>
        <w:autoSpaceDE w:val="0"/>
        <w:autoSpaceDN w:val="0"/>
        <w:spacing w:after="0" w:line="240" w:lineRule="auto"/>
        <w:rPr>
          <w:rFonts w:ascii="Segoe UI" w:eastAsiaTheme="minorEastAsia" w:hAnsi="Segoe UI" w:cs="Segoe UI"/>
          <w:sz w:val="18"/>
          <w:szCs w:val="18"/>
          <w:lang w:eastAsia="zh-TW"/>
        </w:rPr>
      </w:pPr>
      <w:bookmarkStart w:id="373" w:name="_Hlk525654755"/>
      <w:r>
        <w:rPr>
          <w:sz w:val="18"/>
        </w:rPr>
        <w:t>“</w:t>
      </w:r>
      <w:r w:rsidR="008A01B3">
        <w:rPr>
          <w:b/>
          <w:color w:val="00188F"/>
          <w:sz w:val="18"/>
        </w:rPr>
        <w:t>Período de Indisponibilidade</w:t>
      </w:r>
      <w:r>
        <w:rPr>
          <w:sz w:val="18"/>
        </w:rPr>
        <w:t>”</w:t>
      </w:r>
      <w:r w:rsidR="008A01B3">
        <w:rPr>
          <w:sz w:val="18"/>
          <w:szCs w:val="18"/>
        </w:rPr>
        <w:t xml:space="preserve"> </w:t>
      </w:r>
      <w:r w:rsidR="008A01B3">
        <w:rPr>
          <w:sz w:val="18"/>
        </w:rPr>
        <w:t>designa o total acumulado de Máximo de Minutos Disponíveis durante um Período Aplicável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p>
    <w:p w14:paraId="2015B5C6" w14:textId="33BDF958" w:rsidR="008A01B3" w:rsidRPr="00EF7CF9" w:rsidRDefault="00380305" w:rsidP="00F92EAF">
      <w:pPr>
        <w:pStyle w:val="ProductList-Body"/>
      </w:pPr>
      <w:r>
        <w:t>“</w:t>
      </w:r>
      <w:r w:rsidR="008A01B3">
        <w:rPr>
          <w:b/>
          <w:color w:val="00188F"/>
        </w:rPr>
        <w:t>Máximo de Minutos Disponíveis</w:t>
      </w:r>
      <w:r>
        <w:t>”</w:t>
      </w:r>
      <w:r w:rsidR="008A01B3">
        <w:t xml:space="preserve"> designa o número total de minutos durante os quais o Serviço SignalR esteve implementado pelo Cliente numa determinada subscrição do Microsoft Azure durante um Período Aplicável.</w:t>
      </w:r>
    </w:p>
    <w:p w14:paraId="7BEB29D8" w14:textId="77BDB842" w:rsidR="008A01B3" w:rsidRPr="0022248D" w:rsidRDefault="00380305" w:rsidP="00F92EAF">
      <w:pPr>
        <w:pStyle w:val="ProductList-Body"/>
      </w:pPr>
      <w:r>
        <w:t>“</w:t>
      </w:r>
      <w:r w:rsidR="008A01B3">
        <w:rPr>
          <w:b/>
          <w:color w:val="00188F"/>
        </w:rPr>
        <w:t>Ponto Final do Serviço SignalR</w:t>
      </w:r>
      <w:r>
        <w:t>”</w:t>
      </w:r>
      <w:r w:rsidR="008A01B3">
        <w:t xml:space="preserve"> designa o nome do anfitrião a partir do qual o Serviço SignalR é acedido pelos servidores ou clientes para efetuarem Transações SignalR.</w:t>
      </w:r>
    </w:p>
    <w:p w14:paraId="07B13729" w14:textId="0843DB6B" w:rsidR="008A01B3" w:rsidRPr="00EF7CF9" w:rsidRDefault="00380305" w:rsidP="00F92EAF">
      <w:pPr>
        <w:pStyle w:val="ProductList-Body"/>
      </w:pPr>
      <w:r>
        <w:t>“</w:t>
      </w:r>
      <w:r w:rsidR="008A01B3">
        <w:rPr>
          <w:b/>
          <w:color w:val="00188F"/>
        </w:rPr>
        <w:t>Transações SignalR</w:t>
      </w:r>
      <w:r>
        <w:t>”</w:t>
      </w:r>
      <w:r w:rsidR="008A01B3">
        <w:t xml:space="preserve"> é o conjunto de pedidos de transação enviados a partir do cliente para o servidor ou do servidor para o cliente através de</w:t>
      </w:r>
      <w:r w:rsidR="0086560D">
        <w:t> </w:t>
      </w:r>
      <w:r w:rsidR="008A01B3">
        <w:t>um</w:t>
      </w:r>
      <w:r w:rsidR="0086560D">
        <w:t> </w:t>
      </w:r>
      <w:r w:rsidR="008A01B3">
        <w:t>Ponto Final do Serviço SignalR.</w:t>
      </w:r>
    </w:p>
    <w:bookmarkEnd w:id="373"/>
    <w:p w14:paraId="285D972F" w14:textId="473DC744" w:rsidR="008A01B3" w:rsidRDefault="00AC48A7" w:rsidP="00C407EF">
      <w:pPr>
        <w:pStyle w:val="ProductList-Body"/>
        <w:keepNext/>
      </w:pPr>
      <w:r>
        <w:rPr>
          <w:b/>
          <w:color w:val="00188F"/>
        </w:rPr>
        <w:lastRenderedPageBreak/>
        <w:t>Percentagem de Período de Disponibilidade</w:t>
      </w:r>
      <w:r w:rsidRPr="00473DD3">
        <w:rPr>
          <w:b/>
          <w:color w:val="00188F"/>
        </w:rPr>
        <w:t>:</w:t>
      </w:r>
      <w:r>
        <w:t xml:space="preserve"> A Percentagem de Período de Disponibilidade é calculada através da seguinte fórmula:</w:t>
      </w:r>
    </w:p>
    <w:p w14:paraId="52DA437F" w14:textId="6179DE81" w:rsidR="008A01B3" w:rsidRPr="00EF7CF9" w:rsidRDefault="00000000" w:rsidP="00F92EA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F10A3F" w14:textId="6D4CEC83" w:rsidR="008A01B3" w:rsidRPr="00E81B38" w:rsidRDefault="008A01B3" w:rsidP="00F01ED6">
      <w:pPr>
        <w:pStyle w:val="ProductList-Body"/>
        <w:rPr>
          <w:rFonts w:ascii="Calibri" w:eastAsia="Calibri" w:hAnsi="Calibri" w:cs="Arial"/>
          <w:b/>
          <w:color w:val="00188F"/>
        </w:rPr>
      </w:pPr>
      <w:r w:rsidRPr="00E81B38">
        <w:rPr>
          <w:rFonts w:ascii="Calibri" w:eastAsia="Calibri" w:hAnsi="Calibri" w:cs="Arial"/>
          <w:b/>
          <w:color w:val="00188F"/>
        </w:rPr>
        <w:t>Os seguintes Níveis de Serviço e Créditos de Serviço são aplicáveis à utilização que o Cliente faz das camadas Standard do Serviço SignalR.</w:t>
      </w:r>
    </w:p>
    <w:p w14:paraId="1A23005C" w14:textId="77777777" w:rsidR="008A01B3" w:rsidRPr="00EF7CF9" w:rsidRDefault="008A01B3"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DC1C44" w14:textId="77777777" w:rsidR="008A01B3" w:rsidRPr="005A3C16" w:rsidRDefault="008A01B3" w:rsidP="00F01ED6">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277097">
        <w:tc>
          <w:tcPr>
            <w:tcW w:w="5400" w:type="dxa"/>
          </w:tcPr>
          <w:p w14:paraId="30F2D33A" w14:textId="77777777" w:rsidR="008A01B3" w:rsidRPr="005A3C16" w:rsidRDefault="008A01B3" w:rsidP="00F01ED6">
            <w:pPr>
              <w:pStyle w:val="ProductList-OfferingBody"/>
              <w:jc w:val="center"/>
            </w:pPr>
            <w:r>
              <w:t>&lt; 99,9%</w:t>
            </w:r>
          </w:p>
        </w:tc>
        <w:tc>
          <w:tcPr>
            <w:tcW w:w="5400" w:type="dxa"/>
          </w:tcPr>
          <w:p w14:paraId="6E9E2EAF" w14:textId="77777777" w:rsidR="008A01B3" w:rsidRPr="005A3C16" w:rsidRDefault="008A01B3" w:rsidP="00F01ED6">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F01ED6">
            <w:pPr>
              <w:pStyle w:val="ProductList-OfferingBody"/>
              <w:jc w:val="center"/>
            </w:pPr>
            <w:r>
              <w:t>&lt; 99%</w:t>
            </w:r>
          </w:p>
        </w:tc>
        <w:tc>
          <w:tcPr>
            <w:tcW w:w="5400" w:type="dxa"/>
          </w:tcPr>
          <w:p w14:paraId="177EA44E" w14:textId="77777777" w:rsidR="008A01B3" w:rsidRPr="005A3C16" w:rsidRDefault="008A01B3" w:rsidP="00F01ED6">
            <w:pPr>
              <w:pStyle w:val="ProductList-OfferingBody"/>
              <w:jc w:val="center"/>
            </w:pPr>
            <w:r>
              <w:t>25%</w:t>
            </w:r>
          </w:p>
        </w:tc>
      </w:tr>
    </w:tbl>
    <w:bookmarkStart w:id="374" w:name="AzureSiteRecoveryService_OnPremtoAzure"/>
    <w:bookmarkStart w:id="375" w:name="_Toc52349007"/>
    <w:bookmarkEnd w:id="371"/>
    <w:p w14:paraId="4559E2E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3FE2B6D" w14:textId="77777777" w:rsidR="00A601A1" w:rsidRPr="00EF7CF9" w:rsidRDefault="00A601A1" w:rsidP="00F01ED6">
      <w:pPr>
        <w:pStyle w:val="ProductList-Offering2Heading"/>
        <w:tabs>
          <w:tab w:val="clear" w:pos="360"/>
          <w:tab w:val="clear" w:pos="720"/>
          <w:tab w:val="clear" w:pos="1080"/>
        </w:tabs>
        <w:outlineLvl w:val="2"/>
      </w:pPr>
      <w:bookmarkStart w:id="376" w:name="_Toc214456867"/>
      <w:r>
        <w:t>Azure Site Recovery</w:t>
      </w:r>
      <w:bookmarkEnd w:id="374"/>
      <w:bookmarkEnd w:id="375"/>
      <w:bookmarkEnd w:id="376"/>
    </w:p>
    <w:p w14:paraId="58D4E4C4" w14:textId="77777777" w:rsidR="00A601A1" w:rsidRPr="00EF7CF9" w:rsidRDefault="00A601A1" w:rsidP="00F01ED6">
      <w:pPr>
        <w:pStyle w:val="ProductList-Body"/>
      </w:pPr>
      <w:r>
        <w:rPr>
          <w:b/>
          <w:color w:val="00188F"/>
        </w:rPr>
        <w:t>Definições Adicionais</w:t>
      </w:r>
      <w:r w:rsidRPr="00473DD3">
        <w:rPr>
          <w:b/>
          <w:color w:val="00188F"/>
        </w:rPr>
        <w:t>:</w:t>
      </w:r>
    </w:p>
    <w:p w14:paraId="6FA36C36" w14:textId="77777777" w:rsidR="00E54BD6" w:rsidRPr="000E14A4" w:rsidRDefault="00E54BD6" w:rsidP="00E54BD6">
      <w:pPr>
        <w:pStyle w:val="ProductList-Body"/>
        <w:rPr>
          <w:rFonts w:ascii="Calibri" w:hAnsi="Calibri" w:cs="Calibri"/>
          <w:szCs w:val="18"/>
        </w:rPr>
      </w:pPr>
      <w:r w:rsidRPr="000E14A4">
        <w:rPr>
          <w:rFonts w:ascii="Calibri" w:hAnsi="Calibri" w:cs="Calibri"/>
        </w:rPr>
        <w:t xml:space="preserve">A </w:t>
      </w:r>
      <w:r w:rsidRPr="000E14A4">
        <w:rPr>
          <w:rFonts w:ascii="Calibri" w:hAnsi="Calibri" w:cs="Calibri"/>
          <w:szCs w:val="18"/>
        </w:rPr>
        <w:t>“</w:t>
      </w:r>
      <w:r w:rsidRPr="000E14A4">
        <w:rPr>
          <w:rFonts w:ascii="Calibri" w:hAnsi="Calibri" w:cs="Calibri"/>
          <w:b/>
          <w:color w:val="00188F"/>
          <w:szCs w:val="18"/>
        </w:rPr>
        <w:t>Ativação Pós-falha</w:t>
      </w:r>
      <w:r w:rsidRPr="000E14A4">
        <w:rPr>
          <w:rFonts w:ascii="Calibri" w:hAnsi="Calibri" w:cs="Calibri"/>
          <w:szCs w:val="18"/>
        </w:rPr>
        <w:t>” é o processo de transferência de controlo, simulado ou real, de uma Instância Protegida de um site primário para um site secundário.</w:t>
      </w:r>
    </w:p>
    <w:p w14:paraId="6B7B4D13"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Ativação Pós-falha do Local para o Azure</w:t>
      </w:r>
      <w:r w:rsidRPr="000E14A4">
        <w:rPr>
          <w:rFonts w:ascii="Calibri" w:hAnsi="Calibri" w:cs="Calibri"/>
          <w:szCs w:val="18"/>
        </w:rPr>
        <w:t>” designa a Ativação Pós-falha de uma Instância Protegida de um site primário não Azure para um site secundário do Azure.</w:t>
      </w:r>
    </w:p>
    <w:p w14:paraId="7448BCAC" w14:textId="77777777" w:rsidR="00E54BD6" w:rsidRPr="000E14A4" w:rsidRDefault="00E54BD6" w:rsidP="00E54BD6">
      <w:pPr>
        <w:pStyle w:val="ProductList-Body"/>
        <w:rPr>
          <w:rFonts w:ascii="Calibri" w:hAnsi="Calibri" w:cs="Calibri"/>
          <w:color w:val="505050"/>
          <w:szCs w:val="18"/>
          <w:highlight w:val="yellow"/>
        </w:rPr>
      </w:pPr>
      <w:r w:rsidRPr="000E14A4">
        <w:rPr>
          <w:rFonts w:ascii="Calibri" w:hAnsi="Calibri" w:cs="Calibri"/>
          <w:szCs w:val="18"/>
        </w:rPr>
        <w:t>“</w:t>
      </w:r>
      <w:r w:rsidRPr="000E14A4">
        <w:rPr>
          <w:rFonts w:ascii="Calibri" w:hAnsi="Calibri" w:cs="Calibri"/>
          <w:b/>
          <w:color w:val="00188F"/>
          <w:szCs w:val="18"/>
        </w:rPr>
        <w:t>Ativação Pós-falha do Azure para Azure</w:t>
      </w:r>
      <w:r w:rsidRPr="000E14A4">
        <w:rPr>
          <w:rFonts w:ascii="Calibri" w:hAnsi="Calibri" w:cs="Calibri"/>
          <w:szCs w:val="18"/>
        </w:rPr>
        <w:t>”</w:t>
      </w:r>
      <w:r w:rsidRPr="000E14A4">
        <w:rPr>
          <w:rFonts w:ascii="Calibri" w:hAnsi="Calibri" w:cs="Calibri"/>
          <w:color w:val="505050"/>
          <w:szCs w:val="18"/>
        </w:rPr>
        <w:t xml:space="preserve"> </w:t>
      </w:r>
      <w:r w:rsidRPr="000E14A4">
        <w:rPr>
          <w:rFonts w:ascii="Calibri" w:hAnsi="Calibri" w:cs="Calibri"/>
          <w:szCs w:val="18"/>
        </w:rPr>
        <w:t>é a Ativação Pós-falha de uma Instância Protegida de um site primário do Azure para um site secundário do Azure.</w:t>
      </w:r>
      <w:r w:rsidRPr="000E14A4">
        <w:rPr>
          <w:rFonts w:ascii="Calibri" w:hAnsi="Calibri" w:cs="Calibri"/>
          <w:color w:val="505050"/>
          <w:szCs w:val="18"/>
          <w:highlight w:val="yellow"/>
        </w:rPr>
        <w:t xml:space="preserve"> </w:t>
      </w:r>
    </w:p>
    <w:p w14:paraId="257B0C8B"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Instância Protegida</w:t>
      </w:r>
      <w:r w:rsidRPr="000E14A4">
        <w:rPr>
          <w:rFonts w:ascii="Calibri" w:hAnsi="Calibri" w:cs="Calibri"/>
          <w:szCs w:val="18"/>
        </w:rPr>
        <w:t>” designa uma máquina virtual ou física configurada para replicação pelo Serviço Site Recovery de um site primário para um site secundário. As Instâncias Protegidas são enumeradas no separador Itens Protegidos na secção Serviços de Recuperação do Portal de Gestão.</w:t>
      </w:r>
    </w:p>
    <w:p w14:paraId="7C9D0649" w14:textId="77777777" w:rsidR="00E54BD6" w:rsidRPr="000E14A4" w:rsidRDefault="00E54BD6" w:rsidP="00E54BD6">
      <w:pPr>
        <w:pStyle w:val="ProductList-Body"/>
        <w:rPr>
          <w:rFonts w:ascii="Calibri" w:hAnsi="Calibri" w:cs="Calibri"/>
          <w:b/>
          <w:color w:val="00188F"/>
          <w:szCs w:val="18"/>
        </w:rPr>
      </w:pPr>
      <w:r w:rsidRPr="000E14A4">
        <w:rPr>
          <w:rFonts w:ascii="Calibri" w:hAnsi="Calibri" w:cs="Calibri"/>
          <w:b/>
          <w:color w:val="00188F"/>
          <w:szCs w:val="18"/>
        </w:rPr>
        <w:t>Cálculo do Período de Disponibilidade e Níveis de Serviço para a Ativação Pós-falha do Azure para Azure ou No Local para Azure</w:t>
      </w:r>
    </w:p>
    <w:p w14:paraId="2F071DE6"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Minutos de Ativação Pós-falha</w:t>
      </w:r>
      <w:r w:rsidRPr="000E14A4">
        <w:rPr>
          <w:rFonts w:ascii="Calibri" w:hAnsi="Calibri" w:cs="Calibri"/>
          <w:szCs w:val="18"/>
        </w:rPr>
        <w:t>” designa o número total de minutos num Período Aplicável durante o qual uma Ativação Pós-falha de uma Instância Protegida configurada para a replicação de No Local para No Local foi tentada, mas não foi concluída.</w:t>
      </w:r>
    </w:p>
    <w:p w14:paraId="3F12D24D"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Máximo de Minutos Disponíveis</w:t>
      </w:r>
      <w:r w:rsidRPr="000E14A4">
        <w:rPr>
          <w:rFonts w:ascii="Calibri" w:hAnsi="Calibri" w:cs="Calibri"/>
          <w:szCs w:val="18"/>
        </w:rPr>
        <w:t>” designa o número total de minutos durante os quais uma determinada Instância Protegida foi configurada para a replicação Azure para Azure ou No Local para Azure pelo Serviço Azure Site Recovery durante um Período Aplicável.</w:t>
      </w:r>
    </w:p>
    <w:p w14:paraId="501AB454"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Instância Protegida</w:t>
      </w:r>
      <w:r w:rsidRPr="000E14A4">
        <w:rPr>
          <w:rFonts w:ascii="Calibri" w:hAnsi="Calibri" w:cs="Calibri"/>
          <w:szCs w:val="18"/>
        </w:rPr>
        <w:t>” designa uma máquina virtual ou física configurada para replicação pelo Serviço Azure Site Recovery de um site primário para um site secundário. As Instâncias Protegidas são enumeradas no separador Itens Protegidos na secção Serviços de Recuperação do Portal de Gestão.</w:t>
      </w:r>
    </w:p>
    <w:p w14:paraId="2B84EAFC" w14:textId="77777777" w:rsidR="00E54BD6" w:rsidRPr="000E14A4" w:rsidRDefault="00E54BD6" w:rsidP="00E54BD6">
      <w:pPr>
        <w:pStyle w:val="ProductList-Body"/>
        <w:rPr>
          <w:rFonts w:ascii="Calibri" w:hAnsi="Calibri" w:cs="Calibri"/>
          <w:szCs w:val="18"/>
        </w:rPr>
      </w:pPr>
      <w:r w:rsidRPr="000E14A4">
        <w:rPr>
          <w:rFonts w:ascii="Calibri" w:hAnsi="Calibri" w:cs="Calibri"/>
          <w:b/>
          <w:color w:val="00188F"/>
          <w:szCs w:val="18"/>
        </w:rPr>
        <w:t>Período de Indisponibilidade</w:t>
      </w:r>
      <w:r w:rsidRPr="00002C9D">
        <w:rPr>
          <w:rFonts w:ascii="Calibri" w:hAnsi="Calibri" w:cs="Calibri"/>
          <w:b/>
          <w:bCs/>
          <w:szCs w:val="18"/>
        </w:rPr>
        <w:t>:</w:t>
      </w:r>
      <w:r w:rsidRPr="000E14A4">
        <w:rPr>
          <w:rFonts w:ascii="Calibri" w:hAnsi="Calibri" w:cs="Calibri"/>
          <w:szCs w:val="18"/>
        </w:rP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53791AD" w14:textId="77777777" w:rsidR="00E54BD6" w:rsidRPr="000E14A4" w:rsidRDefault="00E54BD6" w:rsidP="00E54BD6">
      <w:pPr>
        <w:pStyle w:val="ProductList-Body"/>
        <w:keepNext/>
        <w:rPr>
          <w:rFonts w:ascii="Calibri" w:hAnsi="Calibri" w:cs="Calibri"/>
          <w:szCs w:val="18"/>
        </w:rPr>
      </w:pPr>
      <w:r w:rsidRPr="000E14A4">
        <w:rPr>
          <w:rFonts w:ascii="Calibri" w:hAnsi="Calibri" w:cs="Calibri"/>
          <w:b/>
          <w:color w:val="00188F"/>
          <w:szCs w:val="18"/>
        </w:rPr>
        <w:t>Percentagem de Período de Disponibilidade</w:t>
      </w:r>
      <w:r w:rsidRPr="005A7614">
        <w:rPr>
          <w:rFonts w:ascii="Calibri" w:hAnsi="Calibri" w:cs="Calibri"/>
          <w:b/>
          <w:bCs/>
          <w:szCs w:val="18"/>
        </w:rPr>
        <w:t>:</w:t>
      </w:r>
      <w:r w:rsidRPr="000E14A4">
        <w:rPr>
          <w:rFonts w:ascii="Calibri" w:hAnsi="Calibri" w:cs="Calibri"/>
          <w:szCs w:val="18"/>
        </w:rPr>
        <w:t xml:space="preserve"> para a Ativação Pós-falha Azure para Azure ou No Local para Azure de uma Instância Protegida específica num determinado Período Aplicável é calculada como o Máximo de Minutos Disponíveis menos o Período de Indisponibilidade, dividido pelo Máximo de Minutos Disponíveis. </w:t>
      </w:r>
    </w:p>
    <w:p w14:paraId="5FDC624D" w14:textId="77777777" w:rsidR="00E54BD6" w:rsidRPr="000E14A4" w:rsidRDefault="00E54BD6" w:rsidP="00E54BD6">
      <w:pPr>
        <w:pStyle w:val="ProductList-Body"/>
        <w:keepNext/>
        <w:rPr>
          <w:rFonts w:ascii="Calibri" w:hAnsi="Calibri" w:cs="Calibri"/>
          <w:szCs w:val="18"/>
        </w:rPr>
      </w:pPr>
      <w:r w:rsidRPr="000E14A4">
        <w:rPr>
          <w:rFonts w:ascii="Calibri" w:hAnsi="Calibri" w:cs="Calibri"/>
          <w:szCs w:val="18"/>
        </w:rPr>
        <w:t>A Percentagem de Período de Disponibilidade é calculada através da seguinte fórmula:</w:t>
      </w:r>
    </w:p>
    <w:p w14:paraId="2BD45B6E" w14:textId="77777777" w:rsidR="00E54BD6" w:rsidRPr="00EF7CF9" w:rsidRDefault="00000000" w:rsidP="00F92EAF">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C44F00" w14:textId="77777777" w:rsidR="00E54BD6" w:rsidRPr="00053A2B" w:rsidRDefault="00E54BD6" w:rsidP="00E54BD6">
      <w:pPr>
        <w:pStyle w:val="ProductList-Body"/>
        <w:rPr>
          <w:rFonts w:ascii="Calibri" w:hAnsi="Calibri" w:cs="Calibri"/>
        </w:rPr>
      </w:pPr>
      <w:r>
        <w:rPr>
          <w:rFonts w:ascii="Calibri" w:hAnsi="Calibri" w:cs="Calibri"/>
          <w:b/>
          <w:color w:val="00188F"/>
        </w:rPr>
        <w:t>Os seguintes Níveis de Serviço e Créditos de Serviço são aplicáveis à utilização, por parte do Cliente, de cada Instância Protegida no Serviço Site Recovery para a Ativação Pós-falha do Azure para Azure ou No Local para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rsidRPr="00B44CF9" w14:paraId="75FB3099" w14:textId="77777777" w:rsidTr="009D172D">
        <w:trPr>
          <w:tblHeader/>
        </w:trPr>
        <w:tc>
          <w:tcPr>
            <w:tcW w:w="5400" w:type="dxa"/>
            <w:shd w:val="clear" w:color="auto" w:fill="0072C6"/>
          </w:tcPr>
          <w:p w14:paraId="621763C7" w14:textId="77777777" w:rsidR="00E54BD6" w:rsidRPr="00053A2B" w:rsidRDefault="00E54BD6"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365BACA6" w14:textId="77777777" w:rsidR="00E54BD6" w:rsidRPr="00053A2B" w:rsidRDefault="00E54BD6"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E54BD6" w:rsidRPr="00B44CF9" w14:paraId="4ED20351" w14:textId="77777777" w:rsidTr="009D172D">
        <w:tc>
          <w:tcPr>
            <w:tcW w:w="5400" w:type="dxa"/>
          </w:tcPr>
          <w:p w14:paraId="408444AF"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2D4BC504"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10%</w:t>
            </w:r>
          </w:p>
        </w:tc>
      </w:tr>
      <w:tr w:rsidR="00E54BD6" w:rsidRPr="00B44CF9" w14:paraId="5692D66E" w14:textId="77777777" w:rsidTr="009D172D">
        <w:tc>
          <w:tcPr>
            <w:tcW w:w="5400" w:type="dxa"/>
          </w:tcPr>
          <w:p w14:paraId="69D62499"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5746EA2E"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25%</w:t>
            </w:r>
          </w:p>
        </w:tc>
      </w:tr>
    </w:tbl>
    <w:p w14:paraId="5A390D21" w14:textId="77777777" w:rsidR="00E54BD6" w:rsidRPr="00053A2B" w:rsidRDefault="00E54BD6" w:rsidP="00E54BD6">
      <w:pPr>
        <w:pStyle w:val="ProductList-Body"/>
        <w:spacing w:before="120"/>
        <w:rPr>
          <w:rFonts w:ascii="Calibri" w:hAnsi="Calibri" w:cs="Calibri"/>
          <w:b/>
          <w:bCs/>
          <w:color w:val="00188F"/>
        </w:rPr>
      </w:pPr>
      <w:r>
        <w:rPr>
          <w:rFonts w:ascii="Calibri" w:hAnsi="Calibri" w:cs="Calibri"/>
          <w:b/>
          <w:bCs/>
          <w:color w:val="00188F"/>
        </w:rPr>
        <w:t>Objetivo de Tempo de Recuperação e Níveis de Serviço para Ativação Pós-falha do Local para o Azure</w:t>
      </w:r>
    </w:p>
    <w:p w14:paraId="59B99CA7" w14:textId="77777777" w:rsidR="00E54BD6" w:rsidRPr="00053A2B" w:rsidRDefault="00E54BD6" w:rsidP="00E54BD6">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 (RTO)</w:t>
      </w:r>
      <w:r>
        <w:rPr>
          <w:rFonts w:ascii="Calibri" w:hAnsi="Calibri" w:cs="Calibri"/>
        </w:rPr>
        <w:t>”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40BBA190" w14:textId="77777777" w:rsidR="00E54BD6" w:rsidRPr="0018346E" w:rsidRDefault="00E54BD6" w:rsidP="00E54BD6">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w:t>
      </w:r>
      <w:r>
        <w:rPr>
          <w:rFonts w:ascii="Calibri" w:hAnsi="Calibri" w:cs="Calibri"/>
        </w:rPr>
        <w:t>”</w:t>
      </w:r>
      <w:r w:rsidRPr="00860AE1">
        <w:rPr>
          <w:rFonts w:ascii="Calibri" w:hAnsi="Calibri" w:cs="Calibri"/>
          <w:b/>
          <w:bCs/>
        </w:rPr>
        <w:t>:</w:t>
      </w:r>
      <w:r>
        <w:rPr>
          <w:rFonts w:ascii="Calibri" w:hAnsi="Calibri" w:cs="Calibri"/>
        </w:rPr>
        <w:t xml:space="preserve"> Para uma Instância Protegida específica configurada para a replicação Local para o Azure num determinado Período Aplicável é de uma hora.</w:t>
      </w:r>
    </w:p>
    <w:p w14:paraId="7931E48E" w14:textId="77777777" w:rsidR="00E54BD6" w:rsidRPr="00053A2B" w:rsidRDefault="00E54BD6" w:rsidP="00E54BD6">
      <w:pPr>
        <w:pStyle w:val="ProductList-Body"/>
        <w:rPr>
          <w:rFonts w:ascii="Calibri" w:hAnsi="Calibri" w:cs="Calibri"/>
          <w:b/>
          <w:color w:val="00188F"/>
          <w:sz w:val="12"/>
          <w:szCs w:val="12"/>
        </w:rPr>
      </w:pPr>
    </w:p>
    <w:p w14:paraId="0A1A1439" w14:textId="77777777" w:rsidR="00E54BD6" w:rsidRPr="00053A2B" w:rsidRDefault="00E54BD6" w:rsidP="00E54BD6">
      <w:pPr>
        <w:pStyle w:val="ProductList-Body"/>
        <w:rPr>
          <w:rFonts w:ascii="Calibri" w:hAnsi="Calibri" w:cs="Calibri"/>
        </w:rPr>
      </w:pPr>
      <w:r>
        <w:rPr>
          <w:rFonts w:ascii="Calibri" w:hAnsi="Calibri" w:cs="Calibri"/>
          <w:b/>
          <w:color w:val="00188F"/>
        </w:rPr>
        <w:t>Os seguintes Níveis de Serviço e Créditos de Serviço são aplicáveis à utilização, por parte do Cliente, de cada Instância Protegida no Serviço Site Recovery para Ativação Pós-falha do Local para o Azure</w:t>
      </w:r>
      <w:r w:rsidRPr="00560BE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rsidRPr="00B44CF9" w14:paraId="5D54C5D9" w14:textId="77777777" w:rsidTr="009D172D">
        <w:trPr>
          <w:tblHeader/>
        </w:trPr>
        <w:tc>
          <w:tcPr>
            <w:tcW w:w="5400" w:type="dxa"/>
            <w:shd w:val="clear" w:color="auto" w:fill="0072C6"/>
          </w:tcPr>
          <w:p w14:paraId="25869345" w14:textId="77777777" w:rsidR="00E54BD6" w:rsidRPr="00EF7CF9" w:rsidRDefault="00E54BD6" w:rsidP="009D172D">
            <w:pPr>
              <w:pStyle w:val="ProductList-OfferingBody"/>
              <w:jc w:val="center"/>
              <w:rPr>
                <w:color w:val="FFFFFF" w:themeColor="background1"/>
              </w:rPr>
            </w:pPr>
            <w:r>
              <w:rPr>
                <w:color w:val="FFFFFF" w:themeColor="background1"/>
              </w:rPr>
              <w:lastRenderedPageBreak/>
              <w:t>Objetivo de Tempo de Recuperação</w:t>
            </w:r>
          </w:p>
        </w:tc>
        <w:tc>
          <w:tcPr>
            <w:tcW w:w="5400" w:type="dxa"/>
            <w:shd w:val="clear" w:color="auto" w:fill="0072C6"/>
          </w:tcPr>
          <w:p w14:paraId="36CC7943" w14:textId="77777777" w:rsidR="00E54BD6" w:rsidRPr="00EF7CF9" w:rsidRDefault="00E54BD6" w:rsidP="009D172D">
            <w:pPr>
              <w:pStyle w:val="ProductList-OfferingBody"/>
              <w:jc w:val="center"/>
              <w:rPr>
                <w:color w:val="FFFFFF" w:themeColor="background1"/>
              </w:rPr>
            </w:pPr>
            <w:r>
              <w:rPr>
                <w:color w:val="FFFFFF" w:themeColor="background1"/>
              </w:rPr>
              <w:t>Crédito de Serviço</w:t>
            </w:r>
          </w:p>
        </w:tc>
      </w:tr>
      <w:tr w:rsidR="00E54BD6" w:rsidRPr="00B44CF9" w14:paraId="4882952F" w14:textId="77777777" w:rsidTr="009D172D">
        <w:tc>
          <w:tcPr>
            <w:tcW w:w="5400" w:type="dxa"/>
          </w:tcPr>
          <w:p w14:paraId="1836ECC0"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0E255034"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100%</w:t>
            </w:r>
          </w:p>
        </w:tc>
      </w:tr>
    </w:tbl>
    <w:p w14:paraId="54A2120D" w14:textId="77777777" w:rsidR="00E54BD6" w:rsidRPr="007E0001" w:rsidRDefault="00E54BD6" w:rsidP="00E54BD6">
      <w:pPr>
        <w:pStyle w:val="ProductList-Body"/>
        <w:spacing w:before="120"/>
        <w:rPr>
          <w:rFonts w:ascii="Calibri" w:hAnsi="Calibri" w:cs="Calibri"/>
          <w:b/>
          <w:bCs/>
          <w:color w:val="00188F"/>
          <w:szCs w:val="18"/>
        </w:rPr>
      </w:pPr>
      <w:r w:rsidRPr="007E0001">
        <w:rPr>
          <w:rFonts w:ascii="Calibri" w:hAnsi="Calibri" w:cs="Calibri"/>
          <w:b/>
          <w:bCs/>
          <w:color w:val="00188F"/>
          <w:szCs w:val="18"/>
        </w:rPr>
        <w:t>Objetivo de Tempo de Recuperação e Níveis de Serviço para Ativação Pós-falha do Azure para Azure</w:t>
      </w:r>
    </w:p>
    <w:p w14:paraId="689B5EBA" w14:textId="77777777" w:rsidR="00E54BD6" w:rsidRPr="007E0001" w:rsidRDefault="00E54BD6" w:rsidP="00E54BD6">
      <w:pPr>
        <w:pStyle w:val="ProductList-Body"/>
        <w:rPr>
          <w:rFonts w:ascii="Calibri" w:hAnsi="Calibri" w:cs="Calibri"/>
          <w:szCs w:val="18"/>
        </w:rPr>
      </w:pPr>
      <w:r w:rsidRPr="007E0001">
        <w:rPr>
          <w:rFonts w:ascii="Calibri" w:hAnsi="Calibri" w:cs="Calibri"/>
          <w:bCs/>
          <w:szCs w:val="18"/>
        </w:rPr>
        <w:t>“</w:t>
      </w:r>
      <w:r w:rsidRPr="007E0001">
        <w:rPr>
          <w:rFonts w:ascii="Calibri" w:hAnsi="Calibri" w:cs="Calibri"/>
          <w:b/>
          <w:bCs/>
          <w:color w:val="00188F"/>
          <w:szCs w:val="18"/>
        </w:rPr>
        <w:t>Objetivo de Tempo de Recuperação (RTO)</w:t>
      </w:r>
      <w:r w:rsidRPr="007E0001">
        <w:rPr>
          <w:rFonts w:ascii="Calibri" w:hAnsi="Calibri" w:cs="Calibri"/>
          <w:szCs w:val="18"/>
        </w:rPr>
        <w:t>”</w:t>
      </w:r>
      <w:r w:rsidRPr="007E0001">
        <w:rPr>
          <w:rFonts w:ascii="Calibri" w:hAnsi="Calibri" w:cs="Calibri"/>
          <w:color w:val="00188F"/>
          <w:szCs w:val="18"/>
        </w:rPr>
        <w:t xml:space="preserve"> </w:t>
      </w:r>
      <w:r w:rsidRPr="007E0001">
        <w:rPr>
          <w:rFonts w:ascii="Calibri" w:hAnsi="Calibri" w:cs="Calibri"/>
          <w:szCs w:val="18"/>
        </w:rPr>
        <w:t>designa o período de tempo que se inicia quando o Cliente inicia uma Ativação Pós-falha de uma Instância Protegida para a replicação Azure para Azure até ao momento em que a Instância Protegida é executada como uma máquina virtual na região do Azure secundária, excluindo o tempo associado à ação manual ou à execução dos scripts do Cliente.</w:t>
      </w:r>
    </w:p>
    <w:p w14:paraId="2B8DF5E4" w14:textId="77777777" w:rsidR="00E54BD6" w:rsidRPr="007E0001" w:rsidRDefault="00E54BD6" w:rsidP="00E54BD6">
      <w:pPr>
        <w:spacing w:after="120" w:line="240" w:lineRule="auto"/>
        <w:rPr>
          <w:rFonts w:ascii="Calibri" w:hAnsi="Calibri" w:cs="Calibri"/>
          <w:color w:val="00188F"/>
          <w:sz w:val="18"/>
          <w:szCs w:val="18"/>
        </w:rPr>
      </w:pPr>
      <w:r w:rsidRPr="007E0001">
        <w:rPr>
          <w:rFonts w:ascii="Calibri" w:hAnsi="Calibri" w:cs="Calibri"/>
          <w:sz w:val="18"/>
          <w:szCs w:val="18"/>
        </w:rPr>
        <w:t>O “</w:t>
      </w:r>
      <w:r w:rsidRPr="007E0001">
        <w:rPr>
          <w:rFonts w:ascii="Calibri" w:hAnsi="Calibri" w:cs="Calibri"/>
          <w:b/>
          <w:bCs/>
          <w:color w:val="00188F"/>
          <w:sz w:val="18"/>
          <w:szCs w:val="18"/>
        </w:rPr>
        <w:t>Objetivo de Tempo de Recuperação</w:t>
      </w:r>
      <w:r w:rsidRPr="007E0001">
        <w:rPr>
          <w:rFonts w:ascii="Calibri" w:hAnsi="Calibri" w:cs="Calibri"/>
          <w:sz w:val="18"/>
          <w:szCs w:val="18"/>
        </w:rPr>
        <w:t>”</w:t>
      </w:r>
      <w:r w:rsidRPr="007E0001">
        <w:rPr>
          <w:rFonts w:ascii="Calibri" w:hAnsi="Calibri" w:cs="Calibri"/>
          <w:b/>
          <w:color w:val="00188F"/>
          <w:sz w:val="18"/>
          <w:szCs w:val="18"/>
        </w:rPr>
        <w:t xml:space="preserve"> </w:t>
      </w:r>
      <w:r w:rsidRPr="007E0001">
        <w:rPr>
          <w:rFonts w:ascii="Calibri" w:hAnsi="Calibri" w:cs="Calibri"/>
          <w:sz w:val="18"/>
          <w:szCs w:val="18"/>
        </w:rPr>
        <w:t>para uma Instância Protegida específica configurada para a replicação Azure para Azure num determinado Período Aplicável é de 1 hora.</w:t>
      </w:r>
    </w:p>
    <w:p w14:paraId="001EEA06" w14:textId="77777777" w:rsidR="00E54BD6" w:rsidRPr="007E0001" w:rsidRDefault="00E54BD6" w:rsidP="00E54BD6">
      <w:pPr>
        <w:pStyle w:val="ProductList-Body"/>
        <w:rPr>
          <w:rFonts w:ascii="Calibri" w:hAnsi="Calibri" w:cs="Calibri"/>
          <w:szCs w:val="18"/>
        </w:rPr>
      </w:pPr>
      <w:r w:rsidRPr="007E0001">
        <w:rPr>
          <w:rFonts w:ascii="Calibri" w:hAnsi="Calibri" w:cs="Calibri"/>
          <w:b/>
          <w:color w:val="00188F"/>
          <w:szCs w:val="18"/>
        </w:rPr>
        <w:t>Os seguintes Níveis de Serviço e Créditos de Serviço são aplicáveis à utilização que o Cliente faz de cada Instância Protegida no Serviço Site Recovery para Ativação Pós-falha do Azure para Azure</w:t>
      </w:r>
      <w:r w:rsidRPr="00B711B4">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14:paraId="02276382"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049284" w14:textId="77777777" w:rsidR="00E54BD6" w:rsidRPr="00053A2B" w:rsidRDefault="00E54BD6"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759D7B" w14:textId="77777777" w:rsidR="00E54BD6" w:rsidRPr="00053A2B" w:rsidRDefault="00E54BD6"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Serviço</w:t>
            </w:r>
          </w:p>
        </w:tc>
      </w:tr>
      <w:tr w:rsidR="00E54BD6" w14:paraId="17E634C7"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213464" w14:textId="77777777" w:rsidR="00E54BD6" w:rsidRPr="00053A2B" w:rsidRDefault="00E54BD6"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3A2B7" w14:textId="77777777" w:rsidR="00E54BD6" w:rsidRPr="00053A2B" w:rsidRDefault="00E54BD6"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75837827" w14:textId="77777777" w:rsidR="00E54BD6" w:rsidRPr="00053A2B" w:rsidRDefault="00E54BD6" w:rsidP="00E81B38">
      <w:pPr>
        <w:spacing w:before="120" w:after="0" w:line="240" w:lineRule="auto"/>
        <w:rPr>
          <w:rFonts w:ascii="Calibri" w:hAnsi="Calibri" w:cs="Calibri"/>
          <w:sz w:val="18"/>
          <w:szCs w:val="18"/>
        </w:rPr>
      </w:pPr>
      <w:r>
        <w:rPr>
          <w:rFonts w:ascii="Calibri" w:hAnsi="Calibri" w:cs="Calibri"/>
          <w:b/>
          <w:bCs/>
          <w:color w:val="00188F"/>
          <w:sz w:val="18"/>
          <w:szCs w:val="18"/>
        </w:rPr>
        <w:t>Nota:</w:t>
      </w:r>
      <w:r>
        <w:rPr>
          <w:rFonts w:ascii="Calibri" w:hAnsi="Calibri" w:cs="Calibri"/>
          <w:sz w:val="18"/>
          <w:szCs w:val="18"/>
        </w:rPr>
        <w:t xml:space="preserve"> Os créditos de serviço por falha da ativação pós-falha não serão aplicáveis se a capacidade de computação na região secundária não estiver disponível.</w:t>
      </w:r>
    </w:p>
    <w:p w14:paraId="43689F8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37748417" w14:textId="77777777" w:rsidR="004F034D" w:rsidRPr="004F034D" w:rsidRDefault="004F034D" w:rsidP="00F01ED6">
      <w:pPr>
        <w:pStyle w:val="ProductList-Offering2Heading"/>
        <w:keepNext/>
        <w:tabs>
          <w:tab w:val="clear" w:pos="360"/>
          <w:tab w:val="clear" w:pos="720"/>
          <w:tab w:val="clear" w:pos="1080"/>
        </w:tabs>
        <w:outlineLvl w:val="2"/>
      </w:pPr>
      <w:bookmarkStart w:id="377" w:name="_Toc214456868"/>
      <w:r>
        <w:t>Spatial Anchors</w:t>
      </w:r>
      <w:bookmarkEnd w:id="377"/>
    </w:p>
    <w:p w14:paraId="0BFC321D" w14:textId="77777777" w:rsidR="004F034D" w:rsidRPr="00405BA5" w:rsidRDefault="004F034D" w:rsidP="00F01ED6">
      <w:pPr>
        <w:pStyle w:val="ProductList-Body"/>
        <w:keepNext/>
        <w:rPr>
          <w:b/>
          <w:bCs/>
          <w:color w:val="00188F"/>
        </w:rPr>
      </w:pPr>
      <w:r>
        <w:rPr>
          <w:b/>
          <w:bCs/>
          <w:color w:val="00188F"/>
        </w:rPr>
        <w:t>Definições Adicionais</w:t>
      </w:r>
    </w:p>
    <w:p w14:paraId="651B2826" w14:textId="4D8F7671" w:rsidR="004F034D" w:rsidRDefault="00380305" w:rsidP="00F01ED6">
      <w:pPr>
        <w:pStyle w:val="ProductList-Body"/>
      </w:pPr>
      <w:r>
        <w:t>“</w:t>
      </w:r>
      <w:r w:rsidR="004F034D">
        <w:rPr>
          <w:b/>
          <w:bCs/>
          <w:color w:val="00188F"/>
        </w:rPr>
        <w:t>Total de Tentativas de Transação</w:t>
      </w:r>
      <w:r>
        <w:t>”</w:t>
      </w:r>
      <w:r w:rsidR="004F034D">
        <w:t xml:space="preserve"> é o número total de pedidos de API autenticados em relação aos Azure Spatial Anchors feitos pelo Cliente durante um Período Aplicável para uma determinada API de Azure Spatial Anchors. O Total de Tentativas de Transação não inclui os pedidos de API que devolvem um Código de Erro e que são repetidos continuamente num intervalo de cinco minutos após a receção do primeiro Código de Erro.</w:t>
      </w:r>
    </w:p>
    <w:p w14:paraId="796CA674" w14:textId="6C28C700" w:rsidR="004F034D" w:rsidRDefault="00380305" w:rsidP="00F01ED6">
      <w:pPr>
        <w:pStyle w:val="ProductList-Body"/>
      </w:pPr>
      <w:r w:rsidRPr="00CB7596">
        <w:t>“</w:t>
      </w:r>
      <w:r w:rsidR="004F034D">
        <w:rPr>
          <w:b/>
          <w:bCs/>
          <w:color w:val="00188F"/>
        </w:rPr>
        <w:t>Transações com Falha</w:t>
      </w:r>
      <w:r w:rsidRPr="00CB7596">
        <w:t>”</w:t>
      </w:r>
      <w:r w:rsidR="004F034D">
        <w:t xml:space="preserve"> é o conjunto de todos os pedidos para a API de Azure Spatial Anchors no Total de Tentativas de Transação que devolve um Código de Erro.</w:t>
      </w:r>
    </w:p>
    <w:p w14:paraId="5DEAF8F5" w14:textId="33CFCAAA" w:rsidR="004F034D" w:rsidRPr="001012EB" w:rsidRDefault="00EE6E3C" w:rsidP="00F01ED6">
      <w:pPr>
        <w:pStyle w:val="ProductList-Body"/>
        <w:keepNext/>
        <w:rPr>
          <w:b/>
          <w:bCs/>
          <w:color w:val="00188F"/>
        </w:rPr>
      </w:pPr>
      <w:r>
        <w:rPr>
          <w:b/>
          <w:bCs/>
          <w:color w:val="00188F"/>
        </w:rPr>
        <w:t>Cálculo do Período de Disponibilidade</w:t>
      </w:r>
    </w:p>
    <w:p w14:paraId="1A5DAFF7" w14:textId="21A8B03C" w:rsidR="004F034D" w:rsidRDefault="004F034D" w:rsidP="00F01ED6">
      <w:pPr>
        <w:pStyle w:val="ProductList-Body"/>
      </w:pPr>
      <w:r>
        <w:t xml:space="preserve">A </w:t>
      </w:r>
      <w:r w:rsidR="00380305">
        <w:t>“</w:t>
      </w:r>
      <w:r>
        <w:rPr>
          <w:b/>
          <w:bCs/>
          <w:color w:val="00188F"/>
        </w:rPr>
        <w:t>Percentagem de Período de Disponibilidade</w:t>
      </w:r>
      <w:r w:rsidR="00380305">
        <w:t>”</w:t>
      </w:r>
      <w:r>
        <w:t xml:space="preserve"> para os Azure Spatial Anchors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02BCFA38" w14:textId="3EE7BAA7" w:rsidR="00F21F65" w:rsidRPr="00EF7CF9" w:rsidRDefault="00000000" w:rsidP="00D3580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F01ED6">
      <w:pPr>
        <w:pStyle w:val="ProductList-Body"/>
        <w:rPr>
          <w:b/>
          <w:bCs/>
          <w:color w:val="00188F"/>
        </w:rPr>
      </w:pPr>
      <w:r>
        <w:rPr>
          <w:b/>
          <w:bCs/>
          <w:color w:val="00188F"/>
        </w:rPr>
        <w:t>Os seguintes Níveis de Serviço e Créditos de Serviço são aplicáveis às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FF80F05" w14:textId="77777777" w:rsidR="005C638F" w:rsidRPr="00EF7CF9" w:rsidRDefault="005C638F" w:rsidP="00F01ED6">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277097">
        <w:tc>
          <w:tcPr>
            <w:tcW w:w="5400" w:type="dxa"/>
          </w:tcPr>
          <w:p w14:paraId="7EB7FC53" w14:textId="77777777" w:rsidR="005C638F" w:rsidRPr="00EF7CF9" w:rsidRDefault="005C638F" w:rsidP="00F01ED6">
            <w:pPr>
              <w:pStyle w:val="ProductList-OfferingBody"/>
              <w:jc w:val="center"/>
            </w:pPr>
            <w:r>
              <w:t>&lt; 99,9%</w:t>
            </w:r>
          </w:p>
        </w:tc>
        <w:tc>
          <w:tcPr>
            <w:tcW w:w="5400" w:type="dxa"/>
          </w:tcPr>
          <w:p w14:paraId="7357F934" w14:textId="77777777" w:rsidR="005C638F" w:rsidRPr="00EF7CF9" w:rsidRDefault="005C638F" w:rsidP="00F01ED6">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F01ED6">
            <w:pPr>
              <w:pStyle w:val="ProductList-OfferingBody"/>
              <w:jc w:val="center"/>
            </w:pPr>
            <w:r>
              <w:t>&lt; 99%</w:t>
            </w:r>
          </w:p>
        </w:tc>
        <w:tc>
          <w:tcPr>
            <w:tcW w:w="5400" w:type="dxa"/>
          </w:tcPr>
          <w:p w14:paraId="7AD1629F" w14:textId="77777777" w:rsidR="005C638F" w:rsidRPr="00EF7CF9" w:rsidRDefault="005C638F" w:rsidP="00F01ED6">
            <w:pPr>
              <w:pStyle w:val="ProductList-OfferingBody"/>
              <w:jc w:val="center"/>
            </w:pPr>
            <w:r>
              <w:t>25%</w:t>
            </w:r>
          </w:p>
        </w:tc>
      </w:tr>
    </w:tbl>
    <w:p w14:paraId="11A28583"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0D3B8C1" w14:textId="3359FF99" w:rsidR="004731F2" w:rsidRPr="004731F2" w:rsidRDefault="004731F2" w:rsidP="003E44BF">
      <w:pPr>
        <w:pStyle w:val="ProductList-Offering2Heading"/>
        <w:keepNext/>
        <w:tabs>
          <w:tab w:val="clear" w:pos="360"/>
          <w:tab w:val="clear" w:pos="720"/>
          <w:tab w:val="clear" w:pos="1080"/>
        </w:tabs>
        <w:outlineLvl w:val="2"/>
      </w:pPr>
      <w:bookmarkStart w:id="378" w:name="_Toc214456869"/>
      <w:r>
        <w:t>Azure Spring Apps</w:t>
      </w:r>
      <w:bookmarkEnd w:id="378"/>
    </w:p>
    <w:p w14:paraId="0563B350" w14:textId="77777777" w:rsidR="004731F2" w:rsidRPr="004731F2" w:rsidRDefault="004731F2" w:rsidP="00F01ED6">
      <w:pPr>
        <w:pStyle w:val="ProductList-Body"/>
        <w:rPr>
          <w:b/>
          <w:bCs/>
          <w:color w:val="00188F"/>
        </w:rPr>
      </w:pPr>
      <w:r>
        <w:rPr>
          <w:b/>
          <w:bCs/>
          <w:color w:val="00188F"/>
        </w:rPr>
        <w:t>Definições Adicionais</w:t>
      </w:r>
    </w:p>
    <w:p w14:paraId="5CE2A674" w14:textId="00CA5FE9" w:rsidR="004731F2" w:rsidRDefault="00380305" w:rsidP="00F01ED6">
      <w:pPr>
        <w:pStyle w:val="ProductList-Body"/>
      </w:pPr>
      <w:r>
        <w:t>“</w:t>
      </w:r>
      <w:r w:rsidR="004731F2">
        <w:rPr>
          <w:b/>
          <w:bCs/>
          <w:color w:val="00188F"/>
        </w:rPr>
        <w:t>Aplicação</w:t>
      </w:r>
      <w:r>
        <w:t>”</w:t>
      </w:r>
      <w:r w:rsidR="004731F2">
        <w:t xml:space="preserve"> é uma Aplicação do Spring Boot implementada pelo Cliente no Azure Spring Apps. Excluindo as Aplicações na Camada Basic.</w:t>
      </w:r>
    </w:p>
    <w:p w14:paraId="10973B28" w14:textId="6CE4C804" w:rsidR="004731F2" w:rsidRDefault="00380305" w:rsidP="00F01ED6">
      <w:pPr>
        <w:pStyle w:val="ProductList-Body"/>
      </w:pPr>
      <w:r>
        <w:t>“</w:t>
      </w:r>
      <w:r w:rsidR="004731F2">
        <w:rPr>
          <w:b/>
          <w:bCs/>
          <w:color w:val="00188F"/>
        </w:rPr>
        <w:t>Runtime do Serviço Spring Apps</w:t>
      </w:r>
      <w:r>
        <w:t>”</w:t>
      </w:r>
      <w:r w:rsidR="004731F2">
        <w:t xml:space="preserve"> é uma coleção de componentes do Spring Apps (por exemplo, Spring Apps Config Server, Spring Apps Registry) alojada pela Microsoft.</w:t>
      </w:r>
    </w:p>
    <w:p w14:paraId="6C47BC19" w14:textId="7BA2076C" w:rsidR="004731F2" w:rsidRPr="004731F2" w:rsidRDefault="00EE6E3C" w:rsidP="00F01ED6">
      <w:pPr>
        <w:pStyle w:val="ProductList-Body"/>
        <w:spacing w:before="120"/>
        <w:rPr>
          <w:b/>
          <w:bCs/>
          <w:color w:val="00188F"/>
        </w:rPr>
      </w:pPr>
      <w:r>
        <w:rPr>
          <w:b/>
          <w:bCs/>
          <w:color w:val="00188F"/>
        </w:rPr>
        <w:t>Cálculo do Período de Disponibilidade e Níveis de Serviço para o Azure Spring Apps</w:t>
      </w:r>
    </w:p>
    <w:p w14:paraId="17080AFD" w14:textId="7ED6F6CB" w:rsidR="004731F2" w:rsidRDefault="00380305" w:rsidP="00F01ED6">
      <w:pPr>
        <w:pStyle w:val="ProductList-Body"/>
      </w:pPr>
      <w:r>
        <w:t>“</w:t>
      </w:r>
      <w:r w:rsidR="004731F2">
        <w:rPr>
          <w:b/>
          <w:bCs/>
          <w:color w:val="00188F"/>
        </w:rPr>
        <w:t>Minutos de Implementação</w:t>
      </w:r>
      <w:r>
        <w:t>”</w:t>
      </w:r>
      <w:r w:rsidR="004731F2">
        <w:t xml:space="preserve"> designa o número total de minutos durante os quais uma determinada Aplicação foi definida para ser executada no</w:t>
      </w:r>
      <w:r w:rsidR="00EB3633">
        <w:t> </w:t>
      </w:r>
      <w:r w:rsidR="004731F2">
        <w:t>Microsoft Azure durante um Período Aplicável. Os Minutos de Implementação são calculados a partir do momento em que a Aplicação foi criada</w:t>
      </w:r>
      <w:r w:rsidR="00EB3633">
        <w:t> </w:t>
      </w:r>
      <w:r w:rsidR="004731F2">
        <w:t>ou o Cliente iniciou uma ação que resultaria na execução da Aplicação até ao momento em que o Cliente iniciou uma ação que resultaria na</w:t>
      </w:r>
      <w:r w:rsidR="00EB3633">
        <w:t> </w:t>
      </w:r>
      <w:r w:rsidR="004731F2">
        <w:t>interrupção ou eliminação da Aplicação.</w:t>
      </w:r>
    </w:p>
    <w:p w14:paraId="7ADA867F" w14:textId="38A71791" w:rsidR="004731F2" w:rsidRDefault="00380305" w:rsidP="00F01ED6">
      <w:pPr>
        <w:pStyle w:val="ProductList-Body"/>
      </w:pPr>
      <w:r>
        <w:t>“</w:t>
      </w:r>
      <w:r w:rsidR="004731F2">
        <w:rPr>
          <w:b/>
          <w:bCs/>
          <w:color w:val="00188F"/>
        </w:rPr>
        <w:t>Máximo de Minutos Disponíveis</w:t>
      </w:r>
      <w:r>
        <w:t>”</w:t>
      </w:r>
      <w:r w:rsidR="004731F2">
        <w:t xml:space="preserve"> designa a soma de todos os Minutos de Implementação em todas as Aplicações implementadas pelo Cliente numa determinada subscrição do Microsoft Azure durante um Período Aplicável.</w:t>
      </w:r>
    </w:p>
    <w:p w14:paraId="78D8D718" w14:textId="5E04B5DC" w:rsidR="004731F2" w:rsidRDefault="00380305" w:rsidP="00F01ED6">
      <w:pPr>
        <w:pStyle w:val="ProductList-Body"/>
      </w:pPr>
      <w:r>
        <w:t>“</w:t>
      </w:r>
      <w:r w:rsidR="004731F2">
        <w:rPr>
          <w:b/>
          <w:bCs/>
          <w:color w:val="00188F"/>
        </w:rPr>
        <w:t>Período de Indisponibilidade</w:t>
      </w:r>
      <w:r>
        <w:t>”</w:t>
      </w:r>
      <w:r w:rsidR="004731F2">
        <w:t xml:space="preserve"> designa a soma de todos os Minutos de Implementação, em todas as Aplicações implementadas pelo Cliente numa</w:t>
      </w:r>
      <w:r w:rsidR="00A67B21">
        <w:t> </w:t>
      </w:r>
      <w:r w:rsidR="004731F2">
        <w:t xml:space="preserve">determinada subscrição do Microsoft Azure, durante um Período Aplicável no qual a Aplicação está indisponível. Um minuto é considerado indisponível para uma determinada Aplicação se todas as tentativas contínuas para estabelecer ligação entre a Aplicação e o gateway de Internet </w:t>
      </w:r>
      <w:r w:rsidR="004731F2">
        <w:lastRenderedPageBreak/>
        <w:t>da Microsoft, ou o Runtime do Serviço Azure Spring Service Runtime, nesse minuto resultar num Código de Erro ou não devolver um Código de Êxito num prazo de cinco minutos.</w:t>
      </w:r>
    </w:p>
    <w:p w14:paraId="109B980A" w14:textId="77777777" w:rsidR="003E36B1" w:rsidRDefault="003E36B1" w:rsidP="00F01ED6">
      <w:pPr>
        <w:pStyle w:val="ProductList-Body"/>
      </w:pPr>
    </w:p>
    <w:p w14:paraId="480E1E8E" w14:textId="6D311FBD" w:rsidR="004731F2" w:rsidRDefault="00380305" w:rsidP="00F01ED6">
      <w:pPr>
        <w:pStyle w:val="ProductList-Body"/>
      </w:pPr>
      <w:r>
        <w:t>“</w:t>
      </w:r>
      <w:r w:rsidR="004731F2">
        <w:rPr>
          <w:b/>
          <w:bCs/>
          <w:color w:val="00188F"/>
        </w:rPr>
        <w:t>Percentagem de Período de Disponibilidade</w:t>
      </w:r>
      <w:r>
        <w:t>”</w:t>
      </w:r>
      <w:r w:rsidR="004731F2">
        <w:t xml:space="preserve"> A Percentagem de Período de Disponibilidade é calculada utilizando a seguinte fórmula:</w:t>
      </w:r>
    </w:p>
    <w:p w14:paraId="0ECF3A39" w14:textId="7E47185F" w:rsidR="004731F2" w:rsidRPr="00EF7CF9" w:rsidRDefault="00000000" w:rsidP="00D358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8F62620" w14:textId="33C509D8" w:rsidR="004731F2" w:rsidRPr="004731F2" w:rsidRDefault="00DE237E" w:rsidP="00F01ED6">
      <w:pPr>
        <w:pStyle w:val="ProductList-Body"/>
        <w:rPr>
          <w:b/>
          <w:bCs/>
          <w:color w:val="00188F"/>
        </w:rPr>
      </w:pPr>
      <w:r>
        <w:rPr>
          <w:b/>
          <w:bCs/>
          <w:color w:val="00188F"/>
        </w:rPr>
        <w:t>Os seguintes Níveis de Serviço e Créditos de Serviço são aplicáveis à Camada Standard: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EF3B8E" w14:textId="77777777" w:rsidR="004731F2" w:rsidRPr="00EF7CF9" w:rsidRDefault="004731F2" w:rsidP="00F01ED6">
            <w:pPr>
              <w:pStyle w:val="ProductList-OfferingBody"/>
              <w:jc w:val="center"/>
              <w:rPr>
                <w:color w:val="FFFFFF" w:themeColor="background1"/>
              </w:rPr>
            </w:pPr>
            <w:r>
              <w:rPr>
                <w:color w:val="FFFFFF" w:themeColor="background1"/>
              </w:rPr>
              <w:t>Crédito de Serviço</w:t>
            </w:r>
          </w:p>
        </w:tc>
      </w:tr>
      <w:tr w:rsidR="004731F2" w:rsidRPr="00B44CF9" w14:paraId="2CF31537" w14:textId="77777777" w:rsidTr="00277097">
        <w:tc>
          <w:tcPr>
            <w:tcW w:w="5400" w:type="dxa"/>
          </w:tcPr>
          <w:p w14:paraId="4B7534D4" w14:textId="77777777" w:rsidR="004731F2" w:rsidRPr="00EF7CF9" w:rsidRDefault="004731F2" w:rsidP="00F01ED6">
            <w:pPr>
              <w:pStyle w:val="ProductList-OfferingBody"/>
              <w:jc w:val="center"/>
            </w:pPr>
            <w:r>
              <w:t>&lt; 99,9%</w:t>
            </w:r>
          </w:p>
        </w:tc>
        <w:tc>
          <w:tcPr>
            <w:tcW w:w="5400" w:type="dxa"/>
          </w:tcPr>
          <w:p w14:paraId="6A78877F" w14:textId="77777777" w:rsidR="004731F2" w:rsidRPr="00EF7CF9" w:rsidRDefault="004731F2" w:rsidP="00F01ED6">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F01ED6">
            <w:pPr>
              <w:pStyle w:val="ProductList-OfferingBody"/>
              <w:jc w:val="center"/>
            </w:pPr>
            <w:r>
              <w:t>&lt; 99%</w:t>
            </w:r>
          </w:p>
        </w:tc>
        <w:tc>
          <w:tcPr>
            <w:tcW w:w="5400" w:type="dxa"/>
          </w:tcPr>
          <w:p w14:paraId="7BBF4E72" w14:textId="77777777" w:rsidR="004731F2" w:rsidRPr="00EF7CF9" w:rsidRDefault="004731F2" w:rsidP="00F01ED6">
            <w:pPr>
              <w:pStyle w:val="ProductList-OfferingBody"/>
              <w:jc w:val="center"/>
            </w:pPr>
            <w:r>
              <w:t>25%</w:t>
            </w:r>
          </w:p>
        </w:tc>
      </w:tr>
    </w:tbl>
    <w:p w14:paraId="1785D4EF" w14:textId="7C09F61D" w:rsidR="002B686C" w:rsidRDefault="002B686C" w:rsidP="00F92EAF">
      <w:pPr>
        <w:pStyle w:val="ProductList-Body"/>
        <w:keepNext/>
        <w:spacing w:before="120"/>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F01ED6">
            <w:pPr>
              <w:pStyle w:val="ProductList-OfferingBody"/>
              <w:jc w:val="center"/>
              <w:rPr>
                <w:color w:val="FFFFFF" w:themeColor="background1"/>
              </w:rPr>
            </w:pPr>
            <w:r>
              <w:rPr>
                <w:color w:val="FFFFFF" w:themeColor="background1"/>
              </w:rPr>
              <w:t>Crédito de Serviço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F01ED6">
            <w:pPr>
              <w:pStyle w:val="ProductList-OfferingBody"/>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F01ED6">
            <w:pPr>
              <w:pStyle w:val="ProductList-OfferingBody"/>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F01ED6">
            <w:pPr>
              <w:pStyle w:val="ProductList-OfferingBody"/>
              <w:jc w:val="center"/>
            </w:pPr>
            <w:r>
              <w:t>25%</w:t>
            </w:r>
          </w:p>
        </w:tc>
      </w:tr>
    </w:tbl>
    <w:bookmarkStart w:id="379" w:name="_Toc52348987"/>
    <w:p w14:paraId="2C79D36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1E3AFFC" w14:textId="2D4351F8" w:rsidR="003D733D" w:rsidRPr="00EF7CF9" w:rsidRDefault="003D733D" w:rsidP="00F01ED6">
      <w:pPr>
        <w:pStyle w:val="ProductList-Offering2Heading"/>
        <w:tabs>
          <w:tab w:val="clear" w:pos="360"/>
          <w:tab w:val="clear" w:pos="720"/>
          <w:tab w:val="clear" w:pos="1080"/>
        </w:tabs>
        <w:outlineLvl w:val="2"/>
      </w:pPr>
      <w:bookmarkStart w:id="380" w:name="_Toc214456870"/>
      <w:r>
        <w:t>Base de Dados SQL do Azure</w:t>
      </w:r>
      <w:bookmarkEnd w:id="380"/>
      <w:r>
        <w:t xml:space="preserve"> </w:t>
      </w:r>
      <w:bookmarkEnd w:id="379"/>
    </w:p>
    <w:p w14:paraId="66E30F7E" w14:textId="77777777" w:rsidR="003D733D" w:rsidRPr="00EF7CF9" w:rsidRDefault="003D733D" w:rsidP="00F01ED6">
      <w:pPr>
        <w:pStyle w:val="ProductList-Body"/>
      </w:pPr>
      <w:r>
        <w:rPr>
          <w:b/>
          <w:color w:val="00188F"/>
        </w:rPr>
        <w:t>Definições Adicionais</w:t>
      </w:r>
      <w:r w:rsidRPr="00473DD3">
        <w:rPr>
          <w:b/>
          <w:color w:val="00188F"/>
        </w:rPr>
        <w:t>:</w:t>
      </w:r>
    </w:p>
    <w:p w14:paraId="2FD63069" w14:textId="721D552E" w:rsidR="003D733D" w:rsidRPr="00ED4527" w:rsidRDefault="00380305" w:rsidP="00F01ED6">
      <w:pPr>
        <w:pStyle w:val="ProductList-Body"/>
        <w:jc w:val="both"/>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designa uma área isolada de falhas numa região do Azure que providencia alimentação, refrigeração e rede redundantes.</w:t>
      </w:r>
    </w:p>
    <w:p w14:paraId="470C0B9A" w14:textId="3543563B" w:rsidR="003D733D" w:rsidRPr="00ED4527" w:rsidRDefault="00380305" w:rsidP="00F01ED6">
      <w:pPr>
        <w:pStyle w:val="ProductList-Body"/>
        <w:rPr>
          <w:color w:val="000000" w:themeColor="text1"/>
        </w:rPr>
      </w:pPr>
      <w:r>
        <w:rPr>
          <w:color w:val="000000" w:themeColor="text1"/>
        </w:rPr>
        <w:t>“</w:t>
      </w:r>
      <w:r w:rsidR="003D733D">
        <w:rPr>
          <w:b/>
          <w:bCs/>
          <w:color w:val="00188F"/>
        </w:rPr>
        <w:t>Base de dados</w:t>
      </w:r>
      <w:r>
        <w:rPr>
          <w:color w:val="000000" w:themeColor="text1"/>
        </w:rPr>
        <w:t>”</w:t>
      </w:r>
      <w:r w:rsidR="003D733D">
        <w:rPr>
          <w:color w:val="000000" w:themeColor="text1"/>
        </w:rPr>
        <w:t xml:space="preserve"> designa qualquer Base de Dados SQL do Microsoft Azure criada em qualquer um dos níveis de Serviço e implementada quer como uma base de dados individual ou num Conjunto Elástico.</w:t>
      </w:r>
    </w:p>
    <w:p w14:paraId="3425FC85" w14:textId="3B199AB2" w:rsidR="003D733D" w:rsidRPr="00ED4527" w:rsidRDefault="00380305" w:rsidP="00F01ED6">
      <w:pPr>
        <w:pStyle w:val="ProductList-Body"/>
        <w:rPr>
          <w:color w:val="000000" w:themeColor="text1"/>
        </w:rPr>
      </w:pPr>
      <w:r>
        <w:rPr>
          <w:color w:val="000000" w:themeColor="text1"/>
        </w:rPr>
        <w:t>“</w:t>
      </w:r>
      <w:r w:rsidR="003D733D">
        <w:rPr>
          <w:b/>
          <w:bCs/>
          <w:color w:val="00188F"/>
        </w:rPr>
        <w:t>Implementação Redundante por Zona</w:t>
      </w:r>
      <w:r>
        <w:rPr>
          <w:color w:val="000000" w:themeColor="text1"/>
        </w:rPr>
        <w:t>”</w:t>
      </w:r>
      <w:r w:rsidR="003D733D">
        <w:rPr>
          <w:color w:val="000000" w:themeColor="text1"/>
        </w:rPr>
        <w:t xml:space="preserve"> designa uma Base de Dados implementada em várias Zonas de Disponibilidade.</w:t>
      </w:r>
    </w:p>
    <w:p w14:paraId="30555189" w14:textId="21085EA7" w:rsidR="003D733D" w:rsidRPr="00ED4527" w:rsidRDefault="00380305" w:rsidP="00F01ED6">
      <w:pPr>
        <w:pStyle w:val="ProductList-Body"/>
        <w:rPr>
          <w:color w:val="000000" w:themeColor="text1"/>
        </w:rPr>
      </w:pPr>
      <w:r>
        <w:rPr>
          <w:color w:val="000000" w:themeColor="text1"/>
        </w:rPr>
        <w:t>“</w:t>
      </w:r>
      <w:r w:rsidR="003D733D">
        <w:rPr>
          <w:b/>
          <w:bCs/>
          <w:color w:val="00188F"/>
        </w:rPr>
        <w:t>Principal</w:t>
      </w:r>
      <w:r>
        <w:rPr>
          <w:color w:val="000000" w:themeColor="text1"/>
        </w:rPr>
        <w:t>”</w:t>
      </w:r>
      <w:r w:rsidR="003D733D">
        <w:rPr>
          <w:color w:val="000000" w:themeColor="text1"/>
        </w:rPr>
        <w:t xml:space="preserve"> designa qualquer Base de Dados que tenha uma relação de georreplicação ativa com uma Base de Dados noutras regiões Azure. A</w:t>
      </w:r>
      <w:r w:rsidR="00870B51">
        <w:rPr>
          <w:color w:val="000000" w:themeColor="text1"/>
        </w:rPr>
        <w:t> </w:t>
      </w:r>
      <w:r w:rsidR="003D733D">
        <w:rPr>
          <w:color w:val="000000" w:themeColor="text1"/>
        </w:rPr>
        <w:t>Principal pode processar pedidos de leitura e escrita da aplicação.</w:t>
      </w:r>
    </w:p>
    <w:p w14:paraId="5425B8BB" w14:textId="080748CD" w:rsidR="003D733D" w:rsidRPr="00ED4527" w:rsidRDefault="00380305" w:rsidP="00F01ED6">
      <w:pPr>
        <w:pStyle w:val="ProductList-Body"/>
        <w:rPr>
          <w:color w:val="000000" w:themeColor="text1"/>
        </w:rPr>
      </w:pPr>
      <w:r>
        <w:rPr>
          <w:color w:val="000000" w:themeColor="text1"/>
        </w:rPr>
        <w:t>“</w:t>
      </w:r>
      <w:r w:rsidR="003D733D">
        <w:rPr>
          <w:b/>
          <w:bCs/>
          <w:color w:val="00188F"/>
        </w:rPr>
        <w:t>Secundária</w:t>
      </w:r>
      <w:r>
        <w:rPr>
          <w:color w:val="000000" w:themeColor="text1"/>
        </w:rPr>
        <w:t>”</w:t>
      </w:r>
      <w:r w:rsidR="003D733D">
        <w:rPr>
          <w:color w:val="000000" w:themeColor="text1"/>
        </w:rPr>
        <w:t xml:space="preserve"> designa qualquer Base de Dados que mantém uma relação de georreplicação assíncrona com um Principal noutra região do Azure e</w:t>
      </w:r>
      <w:r w:rsidR="000401F7">
        <w:rPr>
          <w:color w:val="000000" w:themeColor="text1"/>
        </w:rPr>
        <w:t> </w:t>
      </w:r>
      <w:r w:rsidR="003D733D">
        <w:rPr>
          <w:color w:val="000000" w:themeColor="text1"/>
        </w:rPr>
        <w:t>pode ser utilizada como alvo de ativação pós-falha. A Secundária pode processar pedidos de só de leitura das aplicações.</w:t>
      </w:r>
    </w:p>
    <w:p w14:paraId="462CAE1B" w14:textId="659EF992" w:rsidR="003D733D" w:rsidRPr="003B474A" w:rsidRDefault="00380305" w:rsidP="00F01ED6">
      <w:pPr>
        <w:pStyle w:val="ProductList-Body"/>
        <w:rPr>
          <w:color w:val="000000" w:themeColor="text1"/>
          <w:spacing w:val="-2"/>
        </w:rPr>
      </w:pPr>
      <w:r>
        <w:rPr>
          <w:color w:val="000000" w:themeColor="text1"/>
          <w:spacing w:val="-2"/>
        </w:rPr>
        <w:t>“</w:t>
      </w:r>
      <w:r w:rsidR="003D733D" w:rsidRPr="003B474A">
        <w:rPr>
          <w:b/>
          <w:bCs/>
          <w:color w:val="00188F"/>
          <w:spacing w:val="-2"/>
        </w:rPr>
        <w:t>Secundária Compatível</w:t>
      </w:r>
      <w:r>
        <w:rPr>
          <w:color w:val="000000" w:themeColor="text1"/>
          <w:spacing w:val="-2"/>
        </w:rPr>
        <w:t>”</w:t>
      </w:r>
      <w:r w:rsidR="003D733D" w:rsidRPr="003B474A">
        <w:rPr>
          <w:color w:val="000000" w:themeColor="text1"/>
          <w:spacing w:val="-2"/>
        </w:rPr>
        <w:t xml:space="preserve"> designa qualquer Secundária que seja criada com a mesma configuração e no mesmo nível de serviço que a Principal. Se a Secundária for criada num conjunto elástico, considera-se como Em Conformidade se ambas as Principais e as Secundárias forem criadas em conjuntos elásticos com configurações correspondentes e com densidade que não exceda 250 bases de dados para uma configuração em conformidade.</w:t>
      </w:r>
    </w:p>
    <w:p w14:paraId="3B202949" w14:textId="0F92E510" w:rsidR="003D733D" w:rsidRPr="00ED4527" w:rsidRDefault="00EE6E3C" w:rsidP="00F01ED6">
      <w:pPr>
        <w:pStyle w:val="ProductList-Body"/>
        <w:spacing w:before="120"/>
        <w:rPr>
          <w:b/>
          <w:bCs/>
          <w:color w:val="00188F"/>
        </w:rPr>
      </w:pPr>
      <w:r>
        <w:rPr>
          <w:b/>
          <w:bCs/>
          <w:color w:val="00188F"/>
        </w:rPr>
        <w:t>Cálculo do Período de Disponibilidade e Níveis de Serviço para o Serviço de Base de Dados SQL do Azure</w:t>
      </w:r>
    </w:p>
    <w:p w14:paraId="5BDCA970" w14:textId="16D601A2" w:rsidR="003D733D" w:rsidRDefault="00380305" w:rsidP="00F01ED6">
      <w:pPr>
        <w:pStyle w:val="ProductList-Body"/>
      </w:pPr>
      <w:r>
        <w:t>“</w:t>
      </w:r>
      <w:r w:rsidR="003D733D">
        <w:rPr>
          <w:b/>
          <w:bCs/>
          <w:color w:val="00188F"/>
        </w:rPr>
        <w:t>Minutos de Implementação</w:t>
      </w:r>
      <w:r>
        <w:t>”</w:t>
      </w:r>
      <w:r w:rsidR="003D733D">
        <w:t xml:space="preserve"> designa o número total de minutos durante os quais uma determinada Base de Dados esteve operacional no Microsoft Azure durante um Período Aplicável.</w:t>
      </w:r>
    </w:p>
    <w:p w14:paraId="3B5D1850" w14:textId="511CE62D" w:rsidR="003D733D" w:rsidRPr="00EF7CF9" w:rsidRDefault="00380305" w:rsidP="00F01ED6">
      <w:pPr>
        <w:pStyle w:val="ProductList-Body"/>
      </w:pPr>
      <w:r>
        <w:t>“</w:t>
      </w:r>
      <w:r w:rsidR="003D733D">
        <w:rPr>
          <w:b/>
          <w:color w:val="00188F"/>
        </w:rPr>
        <w:t>Máximo de Minutos Disponíveis</w:t>
      </w:r>
      <w:r>
        <w:t>”</w:t>
      </w:r>
      <w:r w:rsidR="003D733D">
        <w:t xml:space="preserve"> designa a soma de todos os Minutos de Implementação numa determinada subscrição do Microsoft Azure durante um Período Aplicável.</w:t>
      </w:r>
    </w:p>
    <w:p w14:paraId="7D7A7ABE" w14:textId="5C774C3D" w:rsidR="003D733D" w:rsidRPr="00EF7CF9" w:rsidRDefault="003D733D" w:rsidP="00F01ED6">
      <w:pPr>
        <w:pStyle w:val="ProductList-Body"/>
      </w:pPr>
      <w:r>
        <w:rPr>
          <w:b/>
          <w:color w:val="00188F"/>
        </w:rPr>
        <w:t>Período de Indisponibilidade</w:t>
      </w:r>
      <w:r w:rsidRPr="00473DD3">
        <w:rPr>
          <w:b/>
          <w:color w:val="00188F"/>
        </w:rPr>
        <w:t>:</w:t>
      </w:r>
      <w:r>
        <w:t xml:space="preserve"> é o total de Minutos de Implementação acumulados em todas as Bases de Dados numa determinada subscrição do</w:t>
      </w:r>
      <w:r w:rsidR="00D72A39">
        <w:t> </w:t>
      </w:r>
      <w:r>
        <w:t>Microsoft Azure durante os quais a Base de Dados está indisponível.</w:t>
      </w:r>
      <w:r w:rsidR="000514F4">
        <w:t xml:space="preserve"> </w:t>
      </w:r>
      <w:r>
        <w:t>Um minuto é considerado indisponível para uma determinada Base de Dados se falharem todas as tentativas contínuas por parte do Cliente para estabelecer uma ligação com a Base de Dados nesse minuto falharem.</w:t>
      </w:r>
    </w:p>
    <w:p w14:paraId="5EC3C860" w14:textId="33D64972" w:rsidR="003D733D" w:rsidRPr="003B474A" w:rsidRDefault="00AC48A7" w:rsidP="00F01ED6">
      <w:pPr>
        <w:pStyle w:val="ProductList-Body"/>
        <w:rPr>
          <w:spacing w:val="-3"/>
        </w:rPr>
      </w:pPr>
      <w:r w:rsidRPr="003B474A">
        <w:rPr>
          <w:b/>
          <w:color w:val="00188F"/>
          <w:spacing w:val="-3"/>
        </w:rPr>
        <w:t>Percentagem de Período de Disponibilidade</w:t>
      </w:r>
      <w:r w:rsidRPr="00473DD3">
        <w:rPr>
          <w:b/>
          <w:color w:val="00188F"/>
          <w:spacing w:val="-3"/>
        </w:rPr>
        <w:t>:</w:t>
      </w:r>
      <w:r w:rsidRPr="003B474A">
        <w:rPr>
          <w:spacing w:val="-3"/>
        </w:rPr>
        <w:t xml:space="preserve"> para uma determinada Base de Dados é calculada como o Máximo de Minutos Disponíveis menos o Período de Indisponibilidade a dividir pelo Máximo de Minutos Disponíveis num Período Aplicável para uma determinada subscrição do Microsoft Azure. </w:t>
      </w:r>
    </w:p>
    <w:p w14:paraId="17EB06BC" w14:textId="3ECC64E5" w:rsidR="003D733D" w:rsidRPr="00EF7CF9" w:rsidRDefault="003D733D" w:rsidP="00F01ED6">
      <w:pPr>
        <w:pStyle w:val="ProductList-Body"/>
      </w:pPr>
      <w:r>
        <w:t>A Percentagem de Período de Disponibilidade é calculada através da seguinte fórmula:</w:t>
      </w:r>
    </w:p>
    <w:bookmarkStart w:id="381" w:name="_Hlk119330778"/>
    <w:p w14:paraId="508605EB" w14:textId="2908009E" w:rsidR="003D733D" w:rsidRPr="00EF7CF9" w:rsidRDefault="00000000" w:rsidP="00D358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bookmarkEnd w:id="381"/>
    <w:p w14:paraId="6F38870D" w14:textId="77777777" w:rsidR="003512B3" w:rsidRPr="001D33C6" w:rsidRDefault="003512B3" w:rsidP="003512B3">
      <w:pPr>
        <w:pStyle w:val="ProductList-Body"/>
        <w:rPr>
          <w:rFonts w:ascii="Calibri" w:hAnsi="Calibri" w:cs="Calibri"/>
        </w:rPr>
      </w:pPr>
      <w:r>
        <w:rPr>
          <w:rFonts w:ascii="Calibri" w:hAnsi="Calibri" w:cs="Calibri"/>
          <w:b/>
          <w:color w:val="00188F"/>
        </w:rPr>
        <w:t>Aplicam-se os seguintes Níveis de Serviço e Créditos de Serviço à utilização por parte do Cliente das camadas Fins Gerais, Crítico para a Empresa, Premium ou Hyperscale do Serviço de Base de Dados SQL configurado para as Implementações Redundantes por Zona</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854588">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284BDF2" w14:textId="77777777" w:rsidR="003D733D" w:rsidRPr="00EF7CF9" w:rsidRDefault="003D733D" w:rsidP="00AC2365">
            <w:pPr>
              <w:pStyle w:val="ProductList-OfferingBody"/>
              <w:keepNext/>
              <w:keepLines/>
              <w:jc w:val="center"/>
              <w:rPr>
                <w:color w:val="FFFFFF" w:themeColor="background1"/>
              </w:rPr>
            </w:pPr>
            <w:r>
              <w:rPr>
                <w:color w:val="FFFFFF" w:themeColor="background1"/>
              </w:rPr>
              <w:t>Crédito de Serviço</w:t>
            </w:r>
          </w:p>
        </w:tc>
      </w:tr>
      <w:tr w:rsidR="003D733D" w:rsidRPr="00B44CF9" w14:paraId="078649DF" w14:textId="77777777" w:rsidTr="00277097">
        <w:tc>
          <w:tcPr>
            <w:tcW w:w="5400" w:type="dxa"/>
          </w:tcPr>
          <w:p w14:paraId="15161482" w14:textId="77777777" w:rsidR="003D733D" w:rsidRPr="00EF7CF9" w:rsidRDefault="003D733D" w:rsidP="00854588">
            <w:pPr>
              <w:pStyle w:val="ProductList-OfferingBody"/>
              <w:jc w:val="center"/>
            </w:pPr>
            <w:r>
              <w:t>&lt; 99,995%</w:t>
            </w:r>
          </w:p>
        </w:tc>
        <w:tc>
          <w:tcPr>
            <w:tcW w:w="5400" w:type="dxa"/>
          </w:tcPr>
          <w:p w14:paraId="0B1D8BBB" w14:textId="77777777" w:rsidR="003D733D" w:rsidRPr="00EF7CF9" w:rsidRDefault="003D733D" w:rsidP="00AC2365">
            <w:pPr>
              <w:pStyle w:val="ProductList-OfferingBody"/>
              <w:keepNext/>
              <w:keepLines/>
              <w:jc w:val="center"/>
            </w:pPr>
            <w:r>
              <w:t>10%</w:t>
            </w:r>
          </w:p>
        </w:tc>
      </w:tr>
      <w:tr w:rsidR="003D733D" w:rsidRPr="00B44CF9" w14:paraId="42DE5CE5" w14:textId="77777777" w:rsidTr="00277097">
        <w:tc>
          <w:tcPr>
            <w:tcW w:w="5400" w:type="dxa"/>
          </w:tcPr>
          <w:p w14:paraId="45CCA7AF" w14:textId="77777777" w:rsidR="003D733D" w:rsidRPr="00EF7CF9" w:rsidRDefault="003D733D" w:rsidP="00854588">
            <w:pPr>
              <w:pStyle w:val="ProductList-OfferingBody"/>
              <w:jc w:val="center"/>
            </w:pPr>
            <w:r>
              <w:t>&lt; 99%</w:t>
            </w:r>
          </w:p>
        </w:tc>
        <w:tc>
          <w:tcPr>
            <w:tcW w:w="5400" w:type="dxa"/>
          </w:tcPr>
          <w:p w14:paraId="5749BCD7" w14:textId="77777777" w:rsidR="003D733D" w:rsidRPr="00EF7CF9" w:rsidRDefault="003D733D" w:rsidP="00AC2365">
            <w:pPr>
              <w:pStyle w:val="ProductList-OfferingBody"/>
              <w:keepNext/>
              <w:keepLines/>
              <w:jc w:val="center"/>
            </w:pPr>
            <w:r>
              <w:t>25%</w:t>
            </w:r>
          </w:p>
        </w:tc>
      </w:tr>
      <w:tr w:rsidR="003D733D" w:rsidRPr="00B44CF9" w14:paraId="7633BE7C" w14:textId="77777777" w:rsidTr="00277097">
        <w:tc>
          <w:tcPr>
            <w:tcW w:w="5400" w:type="dxa"/>
          </w:tcPr>
          <w:p w14:paraId="679EA065" w14:textId="77777777" w:rsidR="003D733D" w:rsidRPr="00EF7CF9" w:rsidRDefault="003D733D" w:rsidP="00854588">
            <w:pPr>
              <w:pStyle w:val="ProductList-OfferingBody"/>
              <w:jc w:val="center"/>
            </w:pPr>
            <w:r>
              <w:t>&lt; 95%</w:t>
            </w:r>
          </w:p>
        </w:tc>
        <w:tc>
          <w:tcPr>
            <w:tcW w:w="5400" w:type="dxa"/>
          </w:tcPr>
          <w:p w14:paraId="4B7C2F69" w14:textId="77777777" w:rsidR="003D733D" w:rsidRPr="00EF7CF9" w:rsidRDefault="003D733D" w:rsidP="00AC2365">
            <w:pPr>
              <w:pStyle w:val="ProductList-OfferingBody"/>
              <w:keepNext/>
              <w:keepLines/>
              <w:jc w:val="center"/>
            </w:pPr>
            <w:r>
              <w:t>100%</w:t>
            </w:r>
          </w:p>
        </w:tc>
      </w:tr>
    </w:tbl>
    <w:p w14:paraId="3A1F981A" w14:textId="77777777" w:rsidR="003D733D" w:rsidRPr="00EF7CF9" w:rsidRDefault="003D733D" w:rsidP="00F01ED6">
      <w:pPr>
        <w:pStyle w:val="ProductList-Body"/>
        <w:spacing w:before="120"/>
      </w:pPr>
      <w:bookmarkStart w:id="382" w:name="_Toc457821579"/>
      <w:r>
        <w:rPr>
          <w:b/>
          <w:color w:val="00188F"/>
        </w:rPr>
        <w:t>Aplicam-se os seguintes Níveis de Serviço e Créditos de Serviço à utilização, por parte do Cliente, das camadas Hyperscale, Crítico para a Empresa, Premium ou Fins Gerais do Serviço de Base de Dados SQL não configurado para Implementações Redundantes por Zona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4B793296"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277097">
        <w:tc>
          <w:tcPr>
            <w:tcW w:w="5400" w:type="dxa"/>
          </w:tcPr>
          <w:p w14:paraId="4081C8A7" w14:textId="77777777" w:rsidR="003D733D" w:rsidRPr="00EF7CF9" w:rsidRDefault="003D733D" w:rsidP="00F01ED6">
            <w:pPr>
              <w:pStyle w:val="ProductList-OfferingBody"/>
              <w:jc w:val="center"/>
            </w:pPr>
            <w:r>
              <w:t>&lt; 99,99%</w:t>
            </w:r>
          </w:p>
        </w:tc>
        <w:tc>
          <w:tcPr>
            <w:tcW w:w="5400" w:type="dxa"/>
          </w:tcPr>
          <w:p w14:paraId="4DFB8C8D" w14:textId="77777777" w:rsidR="003D733D" w:rsidRPr="00EF7CF9" w:rsidRDefault="003D733D" w:rsidP="00F01ED6">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F01ED6">
            <w:pPr>
              <w:pStyle w:val="ProductList-OfferingBody"/>
              <w:jc w:val="center"/>
            </w:pPr>
            <w:r>
              <w:t>&lt; 99%</w:t>
            </w:r>
          </w:p>
        </w:tc>
        <w:tc>
          <w:tcPr>
            <w:tcW w:w="5400" w:type="dxa"/>
          </w:tcPr>
          <w:p w14:paraId="2BFB6117" w14:textId="77777777" w:rsidR="003D733D" w:rsidRPr="00EF7CF9" w:rsidRDefault="003D733D" w:rsidP="00F01ED6">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F01ED6">
            <w:pPr>
              <w:pStyle w:val="ProductList-OfferingBody"/>
              <w:jc w:val="center"/>
            </w:pPr>
            <w:r>
              <w:t>&lt; 95%</w:t>
            </w:r>
          </w:p>
        </w:tc>
        <w:tc>
          <w:tcPr>
            <w:tcW w:w="5400" w:type="dxa"/>
          </w:tcPr>
          <w:p w14:paraId="22378549" w14:textId="77777777" w:rsidR="003D733D" w:rsidRPr="00EF7CF9" w:rsidRDefault="003D733D" w:rsidP="00F01ED6">
            <w:pPr>
              <w:pStyle w:val="ProductList-OfferingBody"/>
              <w:jc w:val="center"/>
            </w:pPr>
            <w:r>
              <w:t>100%</w:t>
            </w:r>
          </w:p>
        </w:tc>
      </w:tr>
    </w:tbl>
    <w:p w14:paraId="0B33C745" w14:textId="77777777" w:rsidR="003D733D" w:rsidRPr="00EF7CF9" w:rsidRDefault="003D733D" w:rsidP="00F01ED6">
      <w:pPr>
        <w:pStyle w:val="ProductList-Body"/>
        <w:spacing w:before="120"/>
      </w:pPr>
      <w:r>
        <w:rPr>
          <w:b/>
          <w:color w:val="00188F"/>
        </w:rPr>
        <w:t>Os seguintes Níveis de Serviço e Créditos de Serviço são aplicáveis à utilização que o Cliente faz das camadas Basic ou Standard do Serviço de Base de Dados SQL</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6747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277097">
        <w:tc>
          <w:tcPr>
            <w:tcW w:w="5400" w:type="dxa"/>
          </w:tcPr>
          <w:p w14:paraId="19103A6F" w14:textId="77777777" w:rsidR="003D733D" w:rsidRPr="00EF7CF9" w:rsidRDefault="003D733D" w:rsidP="00F01ED6">
            <w:pPr>
              <w:pStyle w:val="ProductList-OfferingBody"/>
              <w:jc w:val="center"/>
            </w:pPr>
            <w:r>
              <w:t>&lt; 99,99%</w:t>
            </w:r>
          </w:p>
        </w:tc>
        <w:tc>
          <w:tcPr>
            <w:tcW w:w="5400" w:type="dxa"/>
          </w:tcPr>
          <w:p w14:paraId="1E9E6B2D" w14:textId="77777777" w:rsidR="003D733D" w:rsidRPr="00EF7CF9" w:rsidRDefault="003D733D" w:rsidP="00F01ED6">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F01ED6">
            <w:pPr>
              <w:pStyle w:val="ProductList-OfferingBody"/>
              <w:jc w:val="center"/>
            </w:pPr>
            <w:r>
              <w:t>&lt; 99%</w:t>
            </w:r>
          </w:p>
        </w:tc>
        <w:tc>
          <w:tcPr>
            <w:tcW w:w="5400" w:type="dxa"/>
          </w:tcPr>
          <w:p w14:paraId="6EBE83BA" w14:textId="77777777" w:rsidR="003D733D" w:rsidRPr="00EF7CF9" w:rsidRDefault="003D733D" w:rsidP="00F01ED6">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F01ED6">
            <w:pPr>
              <w:pStyle w:val="ProductList-OfferingBody"/>
              <w:jc w:val="center"/>
            </w:pPr>
            <w:r>
              <w:t>&lt; 95%</w:t>
            </w:r>
          </w:p>
        </w:tc>
        <w:tc>
          <w:tcPr>
            <w:tcW w:w="5400" w:type="dxa"/>
          </w:tcPr>
          <w:p w14:paraId="49C88237" w14:textId="77777777" w:rsidR="003D733D" w:rsidRPr="00EF7CF9" w:rsidRDefault="003D733D" w:rsidP="00F01ED6">
            <w:pPr>
              <w:pStyle w:val="ProductList-OfferingBody"/>
              <w:jc w:val="center"/>
            </w:pPr>
            <w:r>
              <w:t>100%</w:t>
            </w:r>
          </w:p>
        </w:tc>
      </w:tr>
    </w:tbl>
    <w:p w14:paraId="08D86942" w14:textId="77777777" w:rsidR="003D733D" w:rsidRPr="00ED4527" w:rsidRDefault="003D733D" w:rsidP="00D3580E">
      <w:pPr>
        <w:pStyle w:val="ProductList-Body"/>
        <w:spacing w:before="120"/>
        <w:rPr>
          <w:b/>
          <w:bCs/>
          <w:color w:val="00188F"/>
        </w:rPr>
      </w:pPr>
      <w:r>
        <w:rPr>
          <w:b/>
          <w:bCs/>
          <w:color w:val="00188F"/>
        </w:rPr>
        <w:t>Objetivo do ponto de recuperação (Recovery Point Objective, RPO)</w:t>
      </w:r>
    </w:p>
    <w:p w14:paraId="714AAD2A" w14:textId="5FF0F0EA" w:rsidR="003D733D" w:rsidRPr="008D4EC5" w:rsidRDefault="00380305" w:rsidP="00F01ED6">
      <w:pPr>
        <w:pStyle w:val="ProductList-Body"/>
        <w:rPr>
          <w:color w:val="000000" w:themeColor="text1"/>
        </w:rPr>
      </w:pPr>
      <w:r>
        <w:rPr>
          <w:color w:val="000000" w:themeColor="text1"/>
        </w:rPr>
        <w:t>“</w:t>
      </w:r>
      <w:r w:rsidR="003D733D">
        <w:rPr>
          <w:b/>
          <w:bCs/>
          <w:color w:val="00188F"/>
        </w:rPr>
        <w:t>Ligação de Georreplicação</w:t>
      </w:r>
      <w:r>
        <w:rPr>
          <w:color w:val="000000" w:themeColor="text1"/>
        </w:rPr>
        <w:t>”</w:t>
      </w:r>
      <w:r w:rsidR="003D733D">
        <w:rPr>
          <w:color w:val="000000" w:themeColor="text1"/>
        </w:rPr>
        <w:t xml:space="preserve"> é um objeto programático que representa uma ligação entre uma Principal específica e a Secundária.</w:t>
      </w:r>
    </w:p>
    <w:p w14:paraId="58E21A32" w14:textId="45D62B70" w:rsidR="003D733D" w:rsidRPr="008D4EC5" w:rsidRDefault="00380305" w:rsidP="00F01ED6">
      <w:pPr>
        <w:pStyle w:val="ProductList-Body"/>
        <w:rPr>
          <w:color w:val="000000" w:themeColor="text1"/>
        </w:rPr>
      </w:pPr>
      <w:r>
        <w:rPr>
          <w:color w:val="000000" w:themeColor="text1"/>
        </w:rPr>
        <w:t>“</w:t>
      </w:r>
      <w:r w:rsidR="003D733D">
        <w:rPr>
          <w:b/>
          <w:bCs/>
          <w:color w:val="00188F"/>
        </w:rPr>
        <w:t>Intervalo de Georreplicação</w:t>
      </w:r>
      <w:r>
        <w:rPr>
          <w:color w:val="000000" w:themeColor="text1"/>
        </w:rPr>
        <w:t>”</w:t>
      </w:r>
      <w:r w:rsidR="003D733D">
        <w:rPr>
          <w:color w:val="000000" w:themeColor="text1"/>
        </w:rPr>
        <w:t xml:space="preserve"> é um lapso de tempo decorrente desde que o ponto de transação é cometido na Principal e o reconhecimento, pela</w:t>
      </w:r>
      <w:r w:rsidR="00D73C82">
        <w:rPr>
          <w:color w:val="000000" w:themeColor="text1"/>
        </w:rPr>
        <w:t> </w:t>
      </w:r>
      <w:r w:rsidR="003D733D">
        <w:rPr>
          <w:color w:val="000000" w:themeColor="text1"/>
        </w:rPr>
        <w:t>Secundária, de que a atualização do registo de transações foi mantida.</w:t>
      </w:r>
    </w:p>
    <w:p w14:paraId="7513C667" w14:textId="38573EFD" w:rsidR="003D733D" w:rsidRPr="008D4EC5" w:rsidRDefault="00380305" w:rsidP="00F01ED6">
      <w:pPr>
        <w:pStyle w:val="ProductList-Body"/>
        <w:rPr>
          <w:color w:val="000000" w:themeColor="text1"/>
        </w:rPr>
      </w:pPr>
      <w:r>
        <w:rPr>
          <w:color w:val="000000" w:themeColor="text1"/>
        </w:rPr>
        <w:t>“</w:t>
      </w:r>
      <w:r w:rsidR="003D733D">
        <w:rPr>
          <w:b/>
          <w:bCs/>
          <w:color w:val="00188F"/>
        </w:rPr>
        <w:t>Verificação do Intervalo de Replicação</w:t>
      </w:r>
      <w:r>
        <w:rPr>
          <w:color w:val="000000" w:themeColor="text1"/>
        </w:rPr>
        <w:t>”</w:t>
      </w:r>
      <w:r w:rsidR="003D733D">
        <w:rPr>
          <w:color w:val="000000" w:themeColor="text1"/>
        </w:rPr>
        <w:t xml:space="preserve"> é um método programático utilizado para obter o valor do Intervalo de Georreplicação para uma Ligação de Georreplicação específica.</w:t>
      </w:r>
    </w:p>
    <w:p w14:paraId="12AF603F" w14:textId="10E79328" w:rsidR="003D733D" w:rsidRPr="008D4EC5" w:rsidRDefault="00380305" w:rsidP="00F01ED6">
      <w:pPr>
        <w:pStyle w:val="ProductList-Body"/>
        <w:rPr>
          <w:color w:val="000000" w:themeColor="text1"/>
        </w:rPr>
      </w:pPr>
      <w:r>
        <w:rPr>
          <w:color w:val="000000" w:themeColor="text1"/>
        </w:rPr>
        <w:t>“</w:t>
      </w:r>
      <w:r w:rsidR="003D733D">
        <w:rPr>
          <w:b/>
          <w:bCs/>
          <w:color w:val="00188F"/>
        </w:rPr>
        <w:t>Objetivo do Ponto de Recuperação (Recovery Point Objective, RPO)</w:t>
      </w:r>
      <w:r>
        <w:rPr>
          <w:color w:val="000000" w:themeColor="text1"/>
        </w:rPr>
        <w:t>”</w:t>
      </w:r>
      <w:r w:rsidR="003D733D">
        <w:rPr>
          <w:color w:val="000000" w:themeColor="text1"/>
        </w:rPr>
        <w:t xml:space="preserve"> designa um Intervalo de Georreplicação que não exceda 5 segundos.</w:t>
      </w:r>
    </w:p>
    <w:p w14:paraId="6D0C0A0E" w14:textId="1F95A0EB" w:rsidR="003D733D" w:rsidRPr="008D4EC5" w:rsidRDefault="00380305" w:rsidP="00F01ED6">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Verificações do Intervalo de Replicação para uma determinada Ligação de Georreplicação numa determinada hora.</w:t>
      </w:r>
    </w:p>
    <w:p w14:paraId="01EAABA2" w14:textId="7CE8D090" w:rsidR="003D733D" w:rsidRPr="008D4EC5" w:rsidRDefault="00380305" w:rsidP="00F01ED6">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é o conjunto dos resultados da Verificação de Intervalo de Replicação, classificados por intervalos e em ordem ascendente, para uma determinada Ligação de Georreplicação numa determinada hora.</w:t>
      </w:r>
    </w:p>
    <w:p w14:paraId="22C712BC" w14:textId="252FE04D" w:rsidR="003D733D" w:rsidRDefault="00380305" w:rsidP="00F01ED6">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utiliza o método de classificação mais próximo representado pela seguinte fórmula:</w:t>
      </w:r>
    </w:p>
    <w:p w14:paraId="43522474" w14:textId="77777777" w:rsidR="003D733D" w:rsidRPr="00EF7CF9" w:rsidRDefault="00000000" w:rsidP="00D358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5DCEDB9F" w:rsidR="003D733D" w:rsidRPr="008D4EC5" w:rsidRDefault="00380305" w:rsidP="00F01ED6">
      <w:pPr>
        <w:pStyle w:val="ProductList-Body"/>
        <w:rPr>
          <w:color w:val="000000" w:themeColor="text1"/>
        </w:rPr>
      </w:pPr>
      <w:r>
        <w:rPr>
          <w:color w:val="000000" w:themeColor="text1"/>
        </w:rPr>
        <w:t>“</w:t>
      </w:r>
      <w:r w:rsidR="003D733D">
        <w:rPr>
          <w:b/>
          <w:bCs/>
          <w:color w:val="00188F"/>
        </w:rPr>
        <w:t>Intervalo de Replicação P99</w:t>
      </w:r>
      <w:r>
        <w:rPr>
          <w:color w:val="000000" w:themeColor="text1"/>
        </w:rPr>
        <w:t>”</w:t>
      </w:r>
      <w:r w:rsidR="003D733D">
        <w:rPr>
          <w:color w:val="000000" w:themeColor="text1"/>
        </w:rPr>
        <w:t xml:space="preserve"> é o valor da Classificação Ordinal de S.</w:t>
      </w:r>
    </w:p>
    <w:p w14:paraId="4BB7BC3D" w14:textId="173A9BD4" w:rsidR="003D733D" w:rsidRPr="008D4EC5" w:rsidRDefault="00380305" w:rsidP="00F01ED6">
      <w:pPr>
        <w:pStyle w:val="ProductList-Body"/>
        <w:rPr>
          <w:color w:val="000000" w:themeColor="text1"/>
        </w:rPr>
      </w:pPr>
      <w:r>
        <w:rPr>
          <w:color w:val="000000" w:themeColor="text1"/>
        </w:rPr>
        <w:t>“</w:t>
      </w:r>
      <w:r w:rsidR="003D733D">
        <w:rPr>
          <w:b/>
          <w:bCs/>
          <w:color w:val="00188F"/>
        </w:rPr>
        <w:t>Horas de implementação</w:t>
      </w:r>
      <w:r>
        <w:rPr>
          <w:color w:val="000000" w:themeColor="text1"/>
        </w:rPr>
        <w:t>”</w:t>
      </w:r>
      <w:r w:rsidR="003D733D">
        <w:rPr>
          <w:color w:val="000000" w:themeColor="text1"/>
        </w:rPr>
        <w:t xml:space="preserve"> é o número total de horas em que uma determinada Secundária Compatível esteve operacional para uma determinada subscrição do Microsoft Azure durante um Período Aplicável.</w:t>
      </w:r>
    </w:p>
    <w:p w14:paraId="62BD4640" w14:textId="171D3778" w:rsidR="003D733D" w:rsidRPr="008D4EC5" w:rsidRDefault="00380305" w:rsidP="00F01ED6">
      <w:pPr>
        <w:pStyle w:val="ProductList-Body"/>
        <w:rPr>
          <w:color w:val="000000" w:themeColor="text1"/>
        </w:rPr>
      </w:pPr>
      <w:r>
        <w:rPr>
          <w:color w:val="000000" w:themeColor="text1"/>
        </w:rPr>
        <w:t>“</w:t>
      </w:r>
      <w:r w:rsidR="003D733D">
        <w:rPr>
          <w:b/>
          <w:bCs/>
          <w:color w:val="00188F"/>
        </w:rPr>
        <w:t>Horas de Intervalo Excessivo</w:t>
      </w:r>
      <w:r>
        <w:rPr>
          <w:color w:val="000000" w:themeColor="text1"/>
        </w:rPr>
        <w:t>”</w:t>
      </w:r>
      <w:r w:rsidR="003D733D">
        <w:rPr>
          <w:color w:val="000000" w:themeColor="text1"/>
        </w:rPr>
        <w:t xml:space="preserve"> é o número total de intervalos de uma hora durante o qual a Verificação do Intervalo de Replicação resultou num</w:t>
      </w:r>
      <w:r w:rsidR="002315DB">
        <w:rPr>
          <w:color w:val="000000" w:themeColor="text1"/>
        </w:rPr>
        <w:t> </w:t>
      </w:r>
      <w:r w:rsidR="003D733D">
        <w:rPr>
          <w:color w:val="000000" w:themeColor="text1"/>
        </w:rPr>
        <w:t>Intervalo de Replicação P99 igual ou superior ao RPO para uma determinada subscrição do Microsoft Azure durante um Período Aplicável. Se</w:t>
      </w:r>
      <w:r w:rsidR="002315DB">
        <w:rPr>
          <w:color w:val="000000" w:themeColor="text1"/>
        </w:rPr>
        <w:t> </w:t>
      </w:r>
      <w:r w:rsidR="003D733D">
        <w:rPr>
          <w:color w:val="000000" w:themeColor="text1"/>
        </w:rPr>
        <w:t>o</w:t>
      </w:r>
      <w:r w:rsidR="00DC1476">
        <w:rPr>
          <w:color w:val="000000" w:themeColor="text1"/>
        </w:rPr>
        <w:t> </w:t>
      </w:r>
      <w:r w:rsidR="003D733D">
        <w:rPr>
          <w:color w:val="000000" w:themeColor="text1"/>
        </w:rPr>
        <w:t>número de Verificações do Intervalo de Replicação num determinado intervalo de uma hora for zero, as Horas de Intervalo Excessivo para esse</w:t>
      </w:r>
      <w:r w:rsidR="002315DB">
        <w:rPr>
          <w:color w:val="000000" w:themeColor="text1"/>
        </w:rPr>
        <w:t> </w:t>
      </w:r>
      <w:r w:rsidR="003D733D">
        <w:rPr>
          <w:color w:val="000000" w:themeColor="text1"/>
        </w:rPr>
        <w:t>intervalo serão de 0.</w:t>
      </w:r>
    </w:p>
    <w:p w14:paraId="123CFA24" w14:textId="30490B43" w:rsidR="003D733D" w:rsidRPr="00ED4527" w:rsidRDefault="003D733D" w:rsidP="00F01ED6">
      <w:pPr>
        <w:pStyle w:val="ProductList-Body"/>
        <w:tabs>
          <w:tab w:val="clear" w:pos="360"/>
          <w:tab w:val="clear" w:pos="720"/>
          <w:tab w:val="clear" w:pos="1080"/>
        </w:tabs>
        <w:rPr>
          <w:color w:val="000000" w:themeColor="text1"/>
        </w:rPr>
      </w:pPr>
      <w:r>
        <w:t xml:space="preserve">A </w:t>
      </w:r>
      <w:r w:rsidR="00380305">
        <w:rPr>
          <w:color w:val="000000" w:themeColor="text1"/>
        </w:rPr>
        <w:t>“</w:t>
      </w:r>
      <w:r>
        <w:rPr>
          <w:b/>
          <w:bCs/>
          <w:color w:val="00188F"/>
        </w:rPr>
        <w:t>Percentagem de realização de RPO</w:t>
      </w:r>
      <w:r w:rsidR="00380305">
        <w:rPr>
          <w:color w:val="000000" w:themeColor="text1"/>
        </w:rPr>
        <w:t>”</w:t>
      </w:r>
      <w:r>
        <w:rPr>
          <w:color w:val="000000" w:themeColor="text1"/>
        </w:rPr>
        <w:t xml:space="preserve"> para uma determinada implementação da Base de Dados num Período Aplicável é calculada utilizando a</w:t>
      </w:r>
      <w:r w:rsidR="00DC1476">
        <w:rPr>
          <w:color w:val="000000" w:themeColor="text1"/>
        </w:rPr>
        <w:t> </w:t>
      </w:r>
      <w:r>
        <w:rPr>
          <w:color w:val="000000" w:themeColor="text1"/>
        </w:rPr>
        <w:t>seguinte fórmula:</w:t>
      </w:r>
    </w:p>
    <w:p w14:paraId="7EC80375" w14:textId="6873FDC3" w:rsidR="003D733D" w:rsidRPr="00EF7CF9" w:rsidRDefault="003D733D" w:rsidP="00DC147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Horas de Atraso Excessivo</m:t>
              </m:r>
            </m:num>
            <m:den>
              <m:r>
                <m:rPr>
                  <m:nor/>
                </m:rPr>
                <w:rPr>
                  <w:rFonts w:ascii="Cambria Math" w:hAnsi="Cambria Math" w:cs="Tahoma"/>
                  <w:i/>
                  <w:sz w:val="18"/>
                  <w:szCs w:val="18"/>
                </w:rPr>
                <m:t>Horas de Implementação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40"/>
        <w:gridCol w:w="4500"/>
      </w:tblGrid>
      <w:tr w:rsidR="003D733D" w:rsidRPr="00B44CF9" w14:paraId="7C2E5E45" w14:textId="77777777" w:rsidTr="003B474A">
        <w:trPr>
          <w:tblHeader/>
        </w:trPr>
        <w:tc>
          <w:tcPr>
            <w:tcW w:w="1613" w:type="dxa"/>
            <w:shd w:val="clear" w:color="auto" w:fill="0072C6"/>
          </w:tcPr>
          <w:p w14:paraId="70F865C1"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F01ED6">
            <w:pPr>
              <w:pStyle w:val="ProductList-OfferingBody"/>
              <w:jc w:val="center"/>
              <w:rPr>
                <w:color w:val="FFFFFF" w:themeColor="background1"/>
              </w:rPr>
            </w:pPr>
            <w:r>
              <w:rPr>
                <w:color w:val="FFFFFF" w:themeColor="background1"/>
              </w:rPr>
              <w:t>RPO</w:t>
            </w:r>
          </w:p>
        </w:tc>
        <w:tc>
          <w:tcPr>
            <w:tcW w:w="3240" w:type="dxa"/>
            <w:shd w:val="clear" w:color="auto" w:fill="0072C6"/>
          </w:tcPr>
          <w:p w14:paraId="2283E325" w14:textId="06884C81" w:rsidR="003D733D" w:rsidRPr="00EF7CF9" w:rsidRDefault="003D733D" w:rsidP="00F01ED6">
            <w:pPr>
              <w:pStyle w:val="ProductList-OfferingBody"/>
              <w:jc w:val="center"/>
              <w:rPr>
                <w:color w:val="FFFFFF" w:themeColor="background1"/>
              </w:rPr>
            </w:pPr>
            <w:r>
              <w:rPr>
                <w:color w:val="FFFFFF" w:themeColor="background1"/>
              </w:rPr>
              <w:t>Percentagem de Realização de RPO</w:t>
            </w:r>
          </w:p>
        </w:tc>
        <w:tc>
          <w:tcPr>
            <w:tcW w:w="4500" w:type="dxa"/>
            <w:shd w:val="clear" w:color="auto" w:fill="0072C6"/>
          </w:tcPr>
          <w:p w14:paraId="38ADBCB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3B474A">
        <w:tc>
          <w:tcPr>
            <w:tcW w:w="1613" w:type="dxa"/>
            <w:vAlign w:val="center"/>
          </w:tcPr>
          <w:p w14:paraId="19E38570" w14:textId="77777777" w:rsidR="003D733D" w:rsidRPr="00EF7CF9" w:rsidRDefault="003D733D" w:rsidP="00F01ED6">
            <w:pPr>
              <w:pStyle w:val="ProductList-OfferingBody"/>
              <w:jc w:val="center"/>
            </w:pPr>
            <w:r>
              <w:t>Georreplicação</w:t>
            </w:r>
          </w:p>
        </w:tc>
        <w:tc>
          <w:tcPr>
            <w:tcW w:w="1447" w:type="dxa"/>
            <w:vAlign w:val="center"/>
          </w:tcPr>
          <w:p w14:paraId="4882E3A4" w14:textId="77777777" w:rsidR="003D733D" w:rsidRPr="00EF7CF9" w:rsidRDefault="003D733D" w:rsidP="00F01ED6">
            <w:pPr>
              <w:pStyle w:val="ProductList-OfferingBody"/>
              <w:jc w:val="center"/>
            </w:pPr>
            <w:r>
              <w:t>5 segundos</w:t>
            </w:r>
          </w:p>
        </w:tc>
        <w:tc>
          <w:tcPr>
            <w:tcW w:w="3240" w:type="dxa"/>
            <w:vAlign w:val="center"/>
          </w:tcPr>
          <w:p w14:paraId="6063EF21" w14:textId="77777777" w:rsidR="003D733D" w:rsidRPr="00EF7CF9" w:rsidRDefault="003D733D" w:rsidP="00F01ED6">
            <w:pPr>
              <w:pStyle w:val="ProductList-OfferingBody"/>
              <w:jc w:val="center"/>
            </w:pPr>
            <w:r>
              <w:t>&lt; 100%</w:t>
            </w:r>
          </w:p>
        </w:tc>
        <w:tc>
          <w:tcPr>
            <w:tcW w:w="4500" w:type="dxa"/>
            <w:vAlign w:val="center"/>
          </w:tcPr>
          <w:p w14:paraId="74D9BC0C" w14:textId="35EBB4C0" w:rsidR="003D733D" w:rsidRPr="00EF7CF9" w:rsidRDefault="003D733D" w:rsidP="00F01ED6">
            <w:pPr>
              <w:pStyle w:val="ProductList-OfferingBody"/>
              <w:jc w:val="center"/>
            </w:pPr>
            <w:r>
              <w:t>10% do custo total do Período Aplicável da Secundária Compatível</w:t>
            </w:r>
          </w:p>
        </w:tc>
      </w:tr>
    </w:tbl>
    <w:p w14:paraId="626616AF" w14:textId="77777777" w:rsidR="003D733D" w:rsidRPr="00ED4527" w:rsidRDefault="003D733D" w:rsidP="00A72CAC">
      <w:pPr>
        <w:pStyle w:val="ProductList-Body"/>
        <w:spacing w:before="120"/>
        <w:rPr>
          <w:b/>
          <w:bCs/>
          <w:color w:val="00188F"/>
        </w:rPr>
      </w:pPr>
      <w:r>
        <w:rPr>
          <w:b/>
          <w:bCs/>
          <w:color w:val="00188F"/>
        </w:rPr>
        <w:t>Objetivo de Tempo de Recuperação (RTO)</w:t>
      </w:r>
    </w:p>
    <w:p w14:paraId="018124D3" w14:textId="5E026EFA"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Ativação Pós-Falha Não Planeada</w:t>
      </w:r>
      <w:r>
        <w:rPr>
          <w:color w:val="000000" w:themeColor="text1"/>
          <w:spacing w:val="-3"/>
        </w:rPr>
        <w:t>”</w:t>
      </w:r>
      <w:r w:rsidR="003D733D" w:rsidRPr="003B474A">
        <w:rPr>
          <w:color w:val="000000" w:themeColor="text1"/>
          <w:spacing w:val="-3"/>
        </w:rPr>
        <w:t xml:space="preserve"> é uma ação iniciada pelo Cliente quando a Principal está offline para ativar uma Secundária Compatível como Principal.</w:t>
      </w:r>
    </w:p>
    <w:p w14:paraId="526E5FAF" w14:textId="68D75187" w:rsidR="003D733D" w:rsidRPr="009A2713" w:rsidRDefault="00380305" w:rsidP="00F01ED6">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desde a Ativação Pós-Falha Não Planeada até que a Secundária esteja a agir como Principal.</w:t>
      </w:r>
    </w:p>
    <w:p w14:paraId="6F599CC8" w14:textId="558C14B6"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Objetivo do Tempo de Recuperação (Recovery Time Objective, RTO)</w:t>
      </w:r>
      <w:r>
        <w:rPr>
          <w:color w:val="000000" w:themeColor="text1"/>
          <w:spacing w:val="-3"/>
        </w:rPr>
        <w:t>”</w:t>
      </w:r>
      <w:r w:rsidR="003D733D" w:rsidRPr="003B474A">
        <w:rPr>
          <w:color w:val="000000" w:themeColor="text1"/>
          <w:spacing w:val="-3"/>
        </w:rPr>
        <w:t xml:space="preserve"> designa o Tempo de Recuperação máximo permitido que não exceda 30 segundos.</w:t>
      </w:r>
    </w:p>
    <w:p w14:paraId="5BE092A6" w14:textId="258E2E23" w:rsidR="003D733D" w:rsidRPr="009A2713" w:rsidRDefault="00380305" w:rsidP="00F01ED6">
      <w:pPr>
        <w:pStyle w:val="ProductList-Body"/>
        <w:rPr>
          <w:color w:val="000000" w:themeColor="text1"/>
        </w:rPr>
      </w:pPr>
      <w:r>
        <w:rPr>
          <w:color w:val="000000" w:themeColor="text1"/>
        </w:rPr>
        <w:t>“</w:t>
      </w:r>
      <w:r w:rsidR="003D733D">
        <w:rPr>
          <w:b/>
          <w:bCs/>
          <w:color w:val="00188F"/>
        </w:rPr>
        <w:t>Ativação Pós-Falha Não Planeada Não Conforme</w:t>
      </w:r>
      <w:r>
        <w:rPr>
          <w:color w:val="000000" w:themeColor="text1"/>
        </w:rPr>
        <w:t>”</w:t>
      </w:r>
      <w:r w:rsidR="003D733D">
        <w:rPr>
          <w:color w:val="000000" w:themeColor="text1"/>
        </w:rPr>
        <w:t xml:space="preserve"> é uma Ativação Pós-Falha Não Planeada que não foi possível concluir no RTO.</w:t>
      </w:r>
    </w:p>
    <w:p w14:paraId="5166DD05" w14:textId="295FC069" w:rsidR="003D733D" w:rsidRPr="009A2713" w:rsidRDefault="00380305" w:rsidP="00DC1476">
      <w:pPr>
        <w:pStyle w:val="ProductList-Body"/>
        <w:keepNext/>
        <w:keepLines/>
        <w:tabs>
          <w:tab w:val="clear" w:pos="360"/>
          <w:tab w:val="clear" w:pos="720"/>
          <w:tab w:val="clear" w:pos="1080"/>
        </w:tabs>
        <w:rPr>
          <w:color w:val="000000" w:themeColor="text1"/>
        </w:rPr>
      </w:pPr>
      <w:r>
        <w:rPr>
          <w:color w:val="000000" w:themeColor="text1"/>
        </w:rPr>
        <w:t>“</w:t>
      </w:r>
      <w:r w:rsidR="003D733D">
        <w:rPr>
          <w:b/>
          <w:bCs/>
          <w:color w:val="00188F"/>
        </w:rPr>
        <w:t>Percentagem de Realização de RTO</w:t>
      </w:r>
      <w:r>
        <w:rPr>
          <w:color w:val="000000" w:themeColor="text1"/>
        </w:rPr>
        <w:t>”</w:t>
      </w:r>
      <w:r w:rsidR="003D733D">
        <w:rPr>
          <w:color w:val="000000" w:themeColor="text1"/>
        </w:rPr>
        <w:t xml:space="preserve"> para uma determinada implementação da Base de Dados, num Período Aplicável para uma determinada subscrição é representado pela seguinte fórmula:</w:t>
      </w:r>
    </w:p>
    <w:p w14:paraId="324032A0" w14:textId="704F822E" w:rsidR="003D733D" w:rsidRPr="00EF7CF9" w:rsidRDefault="00000000" w:rsidP="003E36B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Ativações Pós-falha Não Planeadas - Número Total de Ativações Pós-falha Não Planeadas Não Conformes</m:t>
              </m:r>
            </m:num>
            <m:den>
              <m:r>
                <m:rPr>
                  <m:nor/>
                </m:rPr>
                <w:rPr>
                  <w:rFonts w:ascii="Cambria Math" w:hAnsi="Cambria Math" w:cs="Tahoma"/>
                  <w:i/>
                  <w:sz w:val="18"/>
                  <w:szCs w:val="18"/>
                </w:rPr>
                <m:t>Número Total de Ativações Pós-falha Não Planeadas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de serviço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0" w:type="dxa"/>
            <w:shd w:val="clear" w:color="auto" w:fill="0072C6"/>
          </w:tcPr>
          <w:p w14:paraId="3A95E617" w14:textId="77777777" w:rsidR="003D733D" w:rsidRPr="00EF7CF9" w:rsidRDefault="003D733D" w:rsidP="00F01ED6">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F01ED6">
            <w:pPr>
              <w:pStyle w:val="ProductList-OfferingBody"/>
              <w:jc w:val="center"/>
              <w:rPr>
                <w:color w:val="FFFFFF" w:themeColor="background1"/>
              </w:rPr>
            </w:pPr>
            <w:r>
              <w:rPr>
                <w:color w:val="FFFFFF" w:themeColor="background1"/>
              </w:rPr>
              <w:t>Percentagem de Realização de RTO</w:t>
            </w:r>
          </w:p>
        </w:tc>
        <w:tc>
          <w:tcPr>
            <w:tcW w:w="3600" w:type="dxa"/>
            <w:shd w:val="clear" w:color="auto" w:fill="0072C6"/>
          </w:tcPr>
          <w:p w14:paraId="1C5AC948"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277097">
        <w:tc>
          <w:tcPr>
            <w:tcW w:w="2880" w:type="dxa"/>
            <w:vAlign w:val="center"/>
          </w:tcPr>
          <w:p w14:paraId="343B00BC" w14:textId="13F64B98" w:rsidR="003D733D" w:rsidRPr="00EF7CF9" w:rsidRDefault="003D733D" w:rsidP="00F01ED6">
            <w:pPr>
              <w:pStyle w:val="ProductList-OfferingBody"/>
              <w:jc w:val="center"/>
            </w:pPr>
            <w:r>
              <w:t>Ativação Pós-Falha Não Planeada de</w:t>
            </w:r>
            <w:r w:rsidR="00383A94">
              <w:t> </w:t>
            </w:r>
            <w:r>
              <w:t>Uma</w:t>
            </w:r>
            <w:r w:rsidR="00383A94">
              <w:t> </w:t>
            </w:r>
            <w:r>
              <w:t>Base de Dados Individual</w:t>
            </w:r>
          </w:p>
        </w:tc>
        <w:tc>
          <w:tcPr>
            <w:tcW w:w="1440" w:type="dxa"/>
            <w:vAlign w:val="center"/>
          </w:tcPr>
          <w:p w14:paraId="5697F7F9" w14:textId="77777777" w:rsidR="003D733D" w:rsidRPr="00EF7CF9" w:rsidRDefault="003D733D" w:rsidP="00F01ED6">
            <w:pPr>
              <w:pStyle w:val="ProductList-OfferingBody"/>
              <w:jc w:val="center"/>
            </w:pPr>
            <w:r>
              <w:t>30 segundos</w:t>
            </w:r>
          </w:p>
        </w:tc>
        <w:tc>
          <w:tcPr>
            <w:tcW w:w="2880" w:type="dxa"/>
            <w:vAlign w:val="center"/>
          </w:tcPr>
          <w:p w14:paraId="1F10F6D5" w14:textId="77777777" w:rsidR="003D733D" w:rsidRPr="00EF7CF9" w:rsidRDefault="003D733D" w:rsidP="00F01ED6">
            <w:pPr>
              <w:pStyle w:val="ProductList-OfferingBody"/>
              <w:jc w:val="center"/>
            </w:pPr>
            <w:r>
              <w:t>&lt; 100%</w:t>
            </w:r>
          </w:p>
        </w:tc>
        <w:tc>
          <w:tcPr>
            <w:tcW w:w="3600" w:type="dxa"/>
            <w:vAlign w:val="center"/>
          </w:tcPr>
          <w:p w14:paraId="68DA0804" w14:textId="2EF7D757" w:rsidR="003D733D" w:rsidRPr="00EF7CF9" w:rsidRDefault="003D733D" w:rsidP="00F01ED6">
            <w:pPr>
              <w:pStyle w:val="ProductList-OfferingBody"/>
              <w:jc w:val="center"/>
            </w:pPr>
            <w:r>
              <w:t>100% do custo total do Período Aplicável da</w:t>
            </w:r>
            <w:r w:rsidR="001079F6">
              <w:t> </w:t>
            </w:r>
            <w:r>
              <w:t>Secundária Compatível</w:t>
            </w:r>
          </w:p>
        </w:tc>
      </w:tr>
    </w:tbl>
    <w:bookmarkEnd w:id="382"/>
    <w:p w14:paraId="1DFDE32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7D682C45" w14:textId="77777777" w:rsidR="00C24853" w:rsidRPr="00C24853" w:rsidRDefault="00C24853" w:rsidP="00F01ED6">
      <w:pPr>
        <w:pStyle w:val="ProductList-Offering2Heading"/>
        <w:keepNext/>
        <w:tabs>
          <w:tab w:val="clear" w:pos="360"/>
          <w:tab w:val="clear" w:pos="720"/>
          <w:tab w:val="clear" w:pos="1080"/>
        </w:tabs>
        <w:outlineLvl w:val="2"/>
      </w:pPr>
      <w:bookmarkStart w:id="383" w:name="_Toc214456871"/>
      <w:r>
        <w:t>Azure SQL Managed Instance</w:t>
      </w:r>
      <w:bookmarkEnd w:id="383"/>
    </w:p>
    <w:p w14:paraId="207753A5" w14:textId="77777777" w:rsidR="00C24853" w:rsidRPr="007F34A9" w:rsidRDefault="00C24853" w:rsidP="00F01ED6">
      <w:pPr>
        <w:pStyle w:val="ProductList-Body"/>
        <w:rPr>
          <w:b/>
          <w:bCs/>
          <w:color w:val="00188F"/>
        </w:rPr>
      </w:pPr>
      <w:r>
        <w:rPr>
          <w:b/>
          <w:bCs/>
          <w:color w:val="00188F"/>
        </w:rPr>
        <w:t>Definições Adicionais</w:t>
      </w:r>
    </w:p>
    <w:p w14:paraId="1CD0AF18" w14:textId="330AEDF7" w:rsidR="00C24853" w:rsidRDefault="00380305" w:rsidP="00F01ED6">
      <w:pPr>
        <w:pStyle w:val="ProductList-Body"/>
      </w:pPr>
      <w:r>
        <w:t>“</w:t>
      </w:r>
      <w:r w:rsidR="00C24853">
        <w:rPr>
          <w:b/>
          <w:bCs/>
          <w:color w:val="00188F"/>
        </w:rPr>
        <w:t>Instância</w:t>
      </w:r>
      <w:r>
        <w:t>”</w:t>
      </w:r>
      <w:r w:rsidR="00C24853">
        <w:t xml:space="preserve"> designa qualquer Instância Gerida do Microsoft Azure SQL criada em qualquer uma das camadas de Serviço e implementada como uma instância única.</w:t>
      </w:r>
    </w:p>
    <w:p w14:paraId="1FEC54F7" w14:textId="3E7AD59C" w:rsidR="00C24853" w:rsidRDefault="00380305" w:rsidP="00F01ED6">
      <w:pPr>
        <w:pStyle w:val="ProductList-Body"/>
      </w:pPr>
      <w:r>
        <w:t>“</w:t>
      </w:r>
      <w:r w:rsidR="00C24853">
        <w:rPr>
          <w:b/>
          <w:bCs/>
          <w:color w:val="00188F"/>
        </w:rPr>
        <w:t>Configuração de Rede Compatível</w:t>
      </w:r>
      <w:r>
        <w:t>”</w:t>
      </w:r>
      <w:r w:rsidR="00C24853">
        <w:t xml:space="preserve"> designa um conjunto completo de configurações necessárias da Instância de alojamento da Rede Virtual do</w:t>
      </w:r>
      <w:r w:rsidR="00695F61">
        <w:t> </w:t>
      </w:r>
      <w:r w:rsidR="00C24853">
        <w:t>Microsoft Azure, incluindo as regras de segurança de entrada do Grupo de Segurança de Rede do Microsoft Azure e as Redes Definidas pelo Utilizador obrigatórias do Microsoft Azure da Instância de alojamento da Sub-rede da Rede Virtual do Microsoft Azure, o que permite um fluxo ininterrupto do trânsito de gestão e o tráfego de dados para o gateway dedicado colocado na instância de alojamento da Sub-rede da Rede Virtual</w:t>
      </w:r>
      <w:r w:rsidR="00695F61">
        <w:t> </w:t>
      </w:r>
      <w:r w:rsidR="00C24853">
        <w:t>do Microsoft Azure Virtual.</w:t>
      </w:r>
    </w:p>
    <w:p w14:paraId="3599372B" w14:textId="77777777" w:rsidR="00830ED6" w:rsidRPr="00D2551C" w:rsidRDefault="00830ED6" w:rsidP="00830ED6">
      <w:pPr>
        <w:pStyle w:val="ProductList-Body"/>
        <w:rPr>
          <w:rFonts w:ascii="Calibri" w:hAnsi="Calibri" w:cs="Calibri"/>
        </w:rPr>
      </w:pPr>
      <w:r w:rsidRPr="00E340F4">
        <w:rPr>
          <w:rFonts w:ascii="Calibri" w:hAnsi="Calibri" w:cs="Calibri"/>
        </w:rPr>
        <w:t>“</w:t>
      </w:r>
      <w:r>
        <w:rPr>
          <w:rFonts w:ascii="Calibri" w:hAnsi="Calibri" w:cs="Calibri"/>
          <w:b/>
          <w:bCs/>
          <w:color w:val="00188F"/>
        </w:rPr>
        <w:t>Zona de Disponibilidade</w:t>
      </w:r>
      <w:r>
        <w:rPr>
          <w:rFonts w:ascii="Calibri" w:hAnsi="Calibri" w:cs="Calibri"/>
        </w:rPr>
        <w:t>” designa uma área isolada de falhas numa região do Azure que providencia alimentação, refrigeração e rede redundantes.</w:t>
      </w:r>
    </w:p>
    <w:p w14:paraId="2D6C7A36" w14:textId="75E9C2E2" w:rsidR="00830ED6" w:rsidRPr="00830ED6" w:rsidRDefault="00830ED6" w:rsidP="00F01ED6">
      <w:pPr>
        <w:pStyle w:val="ProductList-Body"/>
        <w:rPr>
          <w:rFonts w:ascii="Calibri" w:hAnsi="Calibri" w:cs="Calibri"/>
        </w:rPr>
      </w:pPr>
      <w:r>
        <w:rPr>
          <w:rFonts w:ascii="Calibri" w:hAnsi="Calibri" w:cs="Calibri"/>
        </w:rPr>
        <w:t>“</w:t>
      </w:r>
      <w:r>
        <w:rPr>
          <w:rFonts w:ascii="Calibri" w:hAnsi="Calibri" w:cs="Calibri"/>
          <w:b/>
          <w:bCs/>
          <w:color w:val="00188F"/>
        </w:rPr>
        <w:t>Implementação Redundante por Zona</w:t>
      </w:r>
      <w:r>
        <w:rPr>
          <w:rFonts w:ascii="Calibri" w:hAnsi="Calibri" w:cs="Calibri"/>
        </w:rPr>
        <w:t>” designa uma instância implementada em várias Zonas de Disponibilidade.</w:t>
      </w:r>
    </w:p>
    <w:p w14:paraId="14E0066B" w14:textId="5572BA93" w:rsidR="00C24853" w:rsidRPr="007F34A9" w:rsidRDefault="00EE6E3C" w:rsidP="00F01ED6">
      <w:pPr>
        <w:pStyle w:val="ProductList-Body"/>
        <w:rPr>
          <w:b/>
          <w:bCs/>
          <w:color w:val="00188F"/>
        </w:rPr>
      </w:pPr>
      <w:r>
        <w:rPr>
          <w:b/>
          <w:bCs/>
          <w:color w:val="00188F"/>
        </w:rPr>
        <w:t>Cálculo do Período de Disponibilidade e Níveis de Serviço para o Serviço de Instância Gerida do SQL do Azure</w:t>
      </w:r>
    </w:p>
    <w:p w14:paraId="7162FAC1" w14:textId="1F04D9B1" w:rsidR="00C24853" w:rsidRDefault="00380305" w:rsidP="00F01ED6">
      <w:pPr>
        <w:pStyle w:val="ProductList-Body"/>
      </w:pPr>
      <w:r>
        <w:t>“</w:t>
      </w:r>
      <w:r w:rsidR="00C24853">
        <w:rPr>
          <w:b/>
          <w:bCs/>
          <w:color w:val="00188F"/>
        </w:rPr>
        <w:t>Minutos de Implementação</w:t>
      </w:r>
      <w:r>
        <w:t>”</w:t>
      </w:r>
      <w:r w:rsidR="00C24853">
        <w:t xml:space="preserve"> designa o número total de minutos durante os quais uma determinada Instância esteve operacional no Microsoft Azure durante um Período Aplicável.</w:t>
      </w:r>
    </w:p>
    <w:p w14:paraId="4F25D7E2" w14:textId="22E10190" w:rsidR="00C24853" w:rsidRDefault="00380305" w:rsidP="00F01ED6">
      <w:pPr>
        <w:pStyle w:val="ProductList-Body"/>
      </w:pPr>
      <w:r>
        <w:t>“</w:t>
      </w:r>
      <w:r w:rsidR="00C24853">
        <w:rPr>
          <w:b/>
          <w:bCs/>
          <w:color w:val="00188F"/>
        </w:rPr>
        <w:t>Máximo de Minutos Disponíveis</w:t>
      </w:r>
      <w:r>
        <w:t>”</w:t>
      </w:r>
      <w:r w:rsidR="00C24853">
        <w:t xml:space="preserve"> designa a soma de todos os Minutos de Implementação numa determinada subscrição do Microsoft Azure durante um Período Aplicável.</w:t>
      </w:r>
    </w:p>
    <w:p w14:paraId="67E0F7ED" w14:textId="490FB445" w:rsidR="00C24853" w:rsidRDefault="00380305" w:rsidP="00F01ED6">
      <w:pPr>
        <w:pStyle w:val="ProductList-Body"/>
      </w:pPr>
      <w:r>
        <w:t>“</w:t>
      </w:r>
      <w:r w:rsidR="00C24853">
        <w:rPr>
          <w:b/>
          <w:bCs/>
          <w:color w:val="00188F"/>
        </w:rPr>
        <w:t>Período de Indisponibilidade</w:t>
      </w:r>
      <w:r>
        <w:t>”</w:t>
      </w:r>
      <w:r w:rsidR="00C24853">
        <w:t xml:space="preserve"> designa o total de Minutos de Implementação acumulados em todas as Instâncias numa determinada subscrição do</w:t>
      </w:r>
      <w:r w:rsidR="003523CE">
        <w:t> </w:t>
      </w:r>
      <w:r w:rsidR="00C24853">
        <w:t>Microsoft Azure durante os quais a Instância está indisponível. Um minuto é considerado indisponível para uma determinada Instância se falharem todas as tentativas contínuas por parte do Cliente para estabelecer uma ligação com a Instância nesse minuto falharem.</w:t>
      </w:r>
    </w:p>
    <w:p w14:paraId="1DCEC456" w14:textId="2F526C48" w:rsidR="00C24853" w:rsidRDefault="00C24853" w:rsidP="00F01ED6">
      <w:pPr>
        <w:pStyle w:val="ProductList-Body"/>
      </w:pPr>
      <w:r>
        <w:t xml:space="preserve">A </w:t>
      </w:r>
      <w:r w:rsidR="00380305">
        <w:t>“</w:t>
      </w:r>
      <w:r>
        <w:rPr>
          <w:b/>
          <w:bCs/>
          <w:color w:val="00188F"/>
        </w:rPr>
        <w:t>Percentagem de Período de Disponibilidade</w:t>
      </w:r>
      <w:r w:rsidR="00380305">
        <w:t>”</w:t>
      </w:r>
      <w:r>
        <w:t xml:space="preserve"> para uma determinada Instância é calculada como o Máximo de Minutos Disponíveis menos o</w:t>
      </w:r>
      <w:r w:rsidR="003523CE">
        <w:t> </w:t>
      </w:r>
      <w:r>
        <w:t>Período de Indisponibilidade a dividir pelo Máximo de Minutos Disponíveis num Período Aplicável para uma determinada subscrição do Microsoft</w:t>
      </w:r>
      <w:r w:rsidR="003523CE">
        <w:t> </w:t>
      </w:r>
      <w:r>
        <w:t>Azure. A Percentagem de Período de Disponibilidade é representada pela seguinte fórmula:</w:t>
      </w:r>
    </w:p>
    <w:p w14:paraId="0DCFCAC9" w14:textId="559D5342" w:rsidR="007F34A9" w:rsidRPr="00EF7CF9" w:rsidRDefault="00000000" w:rsidP="003E36B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CBDC74" w14:textId="77777777" w:rsidR="00D80379" w:rsidRPr="00802AB3" w:rsidRDefault="00D80379" w:rsidP="00D80379">
      <w:pPr>
        <w:spacing w:after="0" w:line="240" w:lineRule="auto"/>
        <w:textAlignment w:val="baseline"/>
        <w:rPr>
          <w:rFonts w:ascii="Calibri" w:hAnsi="Calibri" w:cs="Calibri"/>
          <w:b/>
          <w:bCs/>
          <w:color w:val="00188F"/>
          <w:sz w:val="18"/>
        </w:rPr>
      </w:pPr>
      <w:bookmarkStart w:id="384" w:name="_Toc457821580"/>
      <w:bookmarkStart w:id="385" w:name="_Toc52348989"/>
      <w:bookmarkStart w:id="386" w:name="_Hlk119928622"/>
      <w:r>
        <w:rPr>
          <w:rFonts w:ascii="Calibri" w:hAnsi="Calibri" w:cs="Calibri"/>
          <w:b/>
          <w:bCs/>
          <w:color w:val="00188F"/>
          <w:sz w:val="18"/>
        </w:rPr>
        <w:t>Os seguintes Níveis de Serviço e Créditos de Serviço são aplicáveis à utilização, por parte do Cliente, da camada Crítico para a Empresa do Serviço de Instância Gerida do SQL configurada para Implementações Redundantes por Zona com Configuração de Rede Compatível: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0379" w:rsidRPr="00B44CF9" w14:paraId="0A49F20D" w14:textId="77777777" w:rsidTr="008C29E3">
        <w:trPr>
          <w:tblHeader/>
        </w:trPr>
        <w:tc>
          <w:tcPr>
            <w:tcW w:w="5400" w:type="dxa"/>
            <w:shd w:val="clear" w:color="auto" w:fill="0072C6"/>
          </w:tcPr>
          <w:p w14:paraId="68D514B9"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5188DB17"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80379" w:rsidRPr="00B44CF9" w14:paraId="2CFF216C" w14:textId="77777777" w:rsidTr="008C29E3">
        <w:tc>
          <w:tcPr>
            <w:tcW w:w="5400" w:type="dxa"/>
          </w:tcPr>
          <w:p w14:paraId="51D79764"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99,995%</w:t>
            </w:r>
          </w:p>
        </w:tc>
        <w:tc>
          <w:tcPr>
            <w:tcW w:w="5400" w:type="dxa"/>
          </w:tcPr>
          <w:p w14:paraId="56D7B9C8"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w:t>
            </w:r>
          </w:p>
        </w:tc>
      </w:tr>
      <w:tr w:rsidR="00D80379" w:rsidRPr="00B44CF9" w14:paraId="0BD4FF3E" w14:textId="77777777" w:rsidTr="008C29E3">
        <w:tc>
          <w:tcPr>
            <w:tcW w:w="5400" w:type="dxa"/>
          </w:tcPr>
          <w:p w14:paraId="52B1F810"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108650C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25%</w:t>
            </w:r>
          </w:p>
        </w:tc>
      </w:tr>
      <w:tr w:rsidR="00D80379" w:rsidRPr="00B44CF9" w14:paraId="39D8A917" w14:textId="77777777" w:rsidTr="008C29E3">
        <w:tc>
          <w:tcPr>
            <w:tcW w:w="5400" w:type="dxa"/>
          </w:tcPr>
          <w:p w14:paraId="05509C0F"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007F9736"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100%</w:t>
            </w:r>
          </w:p>
        </w:tc>
      </w:tr>
    </w:tbl>
    <w:p w14:paraId="47DBB338" w14:textId="77777777" w:rsidR="00D80379" w:rsidRPr="00802AB3" w:rsidRDefault="00D80379" w:rsidP="00D80379">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Os seguintes Níveis de Serviço e Créditos de Serviço são aplicáveis à utilização, por parte do Cliente, da camada Crítico para a Empresa do Serviço de Instância Gerida do SQL não configurada para Implementações Redundantes por Zona com Configuração de Rede Compatível: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0379" w:rsidRPr="00EF7CF9" w14:paraId="053E8054" w14:textId="77777777" w:rsidTr="008C29E3">
        <w:trPr>
          <w:tblHeader/>
        </w:trPr>
        <w:tc>
          <w:tcPr>
            <w:tcW w:w="5400" w:type="dxa"/>
            <w:shd w:val="clear" w:color="auto" w:fill="0072C6"/>
          </w:tcPr>
          <w:p w14:paraId="527744CF"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44978E65"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80379" w:rsidRPr="00EF7CF9" w14:paraId="578836FC" w14:textId="77777777" w:rsidTr="008C29E3">
        <w:tc>
          <w:tcPr>
            <w:tcW w:w="5400" w:type="dxa"/>
          </w:tcPr>
          <w:p w14:paraId="49CDBC81"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99,99%</w:t>
            </w:r>
          </w:p>
        </w:tc>
        <w:tc>
          <w:tcPr>
            <w:tcW w:w="5400" w:type="dxa"/>
          </w:tcPr>
          <w:p w14:paraId="74C57E39"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w:t>
            </w:r>
          </w:p>
        </w:tc>
      </w:tr>
      <w:tr w:rsidR="00D80379" w:rsidRPr="00EF7CF9" w14:paraId="2039DBE3" w14:textId="77777777" w:rsidTr="008C29E3">
        <w:tc>
          <w:tcPr>
            <w:tcW w:w="5400" w:type="dxa"/>
          </w:tcPr>
          <w:p w14:paraId="1FB23924"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1346DA85"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25%</w:t>
            </w:r>
          </w:p>
        </w:tc>
      </w:tr>
      <w:tr w:rsidR="00D80379" w:rsidRPr="00EF7CF9" w14:paraId="1D47CC77" w14:textId="77777777" w:rsidTr="008C29E3">
        <w:tc>
          <w:tcPr>
            <w:tcW w:w="5400" w:type="dxa"/>
          </w:tcPr>
          <w:p w14:paraId="66B5567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55C2627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100%</w:t>
            </w:r>
          </w:p>
        </w:tc>
      </w:tr>
    </w:tbl>
    <w:p w14:paraId="667BC047" w14:textId="77777777" w:rsidR="00D80379" w:rsidRPr="00802AB3" w:rsidRDefault="00D80379" w:rsidP="00D80379">
      <w:pPr>
        <w:pStyle w:val="ProductList-Body"/>
        <w:spacing w:before="120"/>
        <w:rPr>
          <w:rFonts w:ascii="Calibri" w:hAnsi="Calibri" w:cs="Calibri"/>
          <w:b/>
          <w:bCs/>
          <w:color w:val="00188F"/>
        </w:rPr>
      </w:pPr>
      <w:r>
        <w:rPr>
          <w:rFonts w:ascii="Calibri" w:hAnsi="Calibri" w:cs="Calibri"/>
          <w:b/>
          <w:bCs/>
          <w:color w:val="00188F"/>
        </w:rPr>
        <w:t xml:space="preserve">Os seguintes Níveis de Serviço e Créditos de Serviço são aplicáveis à utilização, por parte do Cliente, da camada Fins Gerais do Serviço de Instância Gerida do SQL </w:t>
      </w:r>
      <w:r>
        <w:rPr>
          <w:rFonts w:ascii="Calibri" w:eastAsia="Times New Roman" w:hAnsi="Calibri" w:cs="Calibri"/>
          <w:b/>
          <w:bCs/>
          <w:color w:val="00188F"/>
          <w:szCs w:val="18"/>
        </w:rPr>
        <w:t>configurada para Implementações Redundantes por Zona com Configuração de Rede Compatível:</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0379" w:rsidRPr="00B44CF9" w14:paraId="6A2725C0" w14:textId="77777777" w:rsidTr="008C29E3">
        <w:trPr>
          <w:tblHeader/>
        </w:trPr>
        <w:tc>
          <w:tcPr>
            <w:tcW w:w="5400" w:type="dxa"/>
            <w:shd w:val="clear" w:color="auto" w:fill="0072C6"/>
          </w:tcPr>
          <w:p w14:paraId="348C55D6"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06C5B7C1"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80379" w:rsidRPr="00B44CF9" w14:paraId="5F9666E9" w14:textId="77777777" w:rsidTr="008C29E3">
        <w:tc>
          <w:tcPr>
            <w:tcW w:w="5400" w:type="dxa"/>
          </w:tcPr>
          <w:p w14:paraId="7AE03141"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99,995%</w:t>
            </w:r>
          </w:p>
        </w:tc>
        <w:tc>
          <w:tcPr>
            <w:tcW w:w="5400" w:type="dxa"/>
          </w:tcPr>
          <w:p w14:paraId="05CE8A25"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w:t>
            </w:r>
          </w:p>
        </w:tc>
      </w:tr>
      <w:tr w:rsidR="00D80379" w:rsidRPr="00B44CF9" w14:paraId="1D5EC86A" w14:textId="77777777" w:rsidTr="008C29E3">
        <w:tc>
          <w:tcPr>
            <w:tcW w:w="5400" w:type="dxa"/>
          </w:tcPr>
          <w:p w14:paraId="27F6DEB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44CA3BA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25%</w:t>
            </w:r>
          </w:p>
        </w:tc>
      </w:tr>
      <w:tr w:rsidR="00D80379" w:rsidRPr="00B44CF9" w14:paraId="44D47B8D" w14:textId="77777777" w:rsidTr="008C29E3">
        <w:tc>
          <w:tcPr>
            <w:tcW w:w="5400" w:type="dxa"/>
          </w:tcPr>
          <w:p w14:paraId="583B4912"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756F2B1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100%</w:t>
            </w:r>
          </w:p>
        </w:tc>
      </w:tr>
    </w:tbl>
    <w:p w14:paraId="2694AF9C" w14:textId="77777777" w:rsidR="00D80379" w:rsidRPr="00802AB3" w:rsidRDefault="00D80379" w:rsidP="00D80379">
      <w:pPr>
        <w:pStyle w:val="ProductList-Body"/>
        <w:spacing w:before="120"/>
        <w:rPr>
          <w:rFonts w:ascii="Calibri" w:hAnsi="Calibri" w:cs="Calibri"/>
          <w:b/>
          <w:bCs/>
          <w:color w:val="00188F"/>
        </w:rPr>
      </w:pPr>
      <w:r>
        <w:rPr>
          <w:rFonts w:ascii="Calibri" w:hAnsi="Calibri" w:cs="Calibri"/>
          <w:b/>
          <w:bCs/>
          <w:color w:val="00188F"/>
        </w:rPr>
        <w:t xml:space="preserve">Os seguintes Níveis de Serviço e Créditos de Serviço são aplicáveis à utilização, por parte do Cliente, da camada Fins Gerais do Serviço de Instância Gerida do SQL não </w:t>
      </w:r>
      <w:r>
        <w:rPr>
          <w:rFonts w:ascii="Calibri" w:eastAsia="Times New Roman" w:hAnsi="Calibri" w:cs="Calibri"/>
          <w:b/>
          <w:bCs/>
          <w:color w:val="00188F"/>
          <w:szCs w:val="18"/>
        </w:rPr>
        <w:t>configurada para Implementações Redundantes por Zona com Configuração de Rede Compatível:</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0379" w:rsidRPr="00B44CF9" w14:paraId="1B303CEC" w14:textId="77777777" w:rsidTr="008C29E3">
        <w:trPr>
          <w:tblHeader/>
        </w:trPr>
        <w:tc>
          <w:tcPr>
            <w:tcW w:w="5400" w:type="dxa"/>
            <w:shd w:val="clear" w:color="auto" w:fill="0072C6"/>
          </w:tcPr>
          <w:p w14:paraId="3121AFEA"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74667F58"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80379" w:rsidRPr="00B44CF9" w14:paraId="45610305" w14:textId="77777777" w:rsidTr="008C29E3">
        <w:tc>
          <w:tcPr>
            <w:tcW w:w="5400" w:type="dxa"/>
          </w:tcPr>
          <w:p w14:paraId="249DD738"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99,99%</w:t>
            </w:r>
          </w:p>
        </w:tc>
        <w:tc>
          <w:tcPr>
            <w:tcW w:w="5400" w:type="dxa"/>
          </w:tcPr>
          <w:p w14:paraId="56563CA2"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w:t>
            </w:r>
          </w:p>
        </w:tc>
      </w:tr>
      <w:tr w:rsidR="00D80379" w:rsidRPr="00B44CF9" w14:paraId="22B47F7C" w14:textId="77777777" w:rsidTr="008C29E3">
        <w:tc>
          <w:tcPr>
            <w:tcW w:w="5400" w:type="dxa"/>
          </w:tcPr>
          <w:p w14:paraId="35BDAD6F"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48B35444"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25%</w:t>
            </w:r>
          </w:p>
        </w:tc>
      </w:tr>
      <w:tr w:rsidR="00D80379" w:rsidRPr="00B44CF9" w14:paraId="7CB6A38F" w14:textId="77777777" w:rsidTr="008C29E3">
        <w:tc>
          <w:tcPr>
            <w:tcW w:w="5400" w:type="dxa"/>
          </w:tcPr>
          <w:p w14:paraId="018B762B"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5E40F2FC"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100%</w:t>
            </w:r>
          </w:p>
        </w:tc>
      </w:tr>
    </w:tbl>
    <w:p w14:paraId="4D5A649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D234023" w14:textId="25288698" w:rsidR="0017060C" w:rsidRPr="00EF7CF9" w:rsidRDefault="0017060C" w:rsidP="00DC1476">
      <w:pPr>
        <w:pStyle w:val="ProductList-Offering2Heading"/>
        <w:keepNext/>
        <w:keepLines/>
        <w:tabs>
          <w:tab w:val="clear" w:pos="360"/>
          <w:tab w:val="clear" w:pos="720"/>
          <w:tab w:val="clear" w:pos="1080"/>
        </w:tabs>
        <w:outlineLvl w:val="2"/>
      </w:pPr>
      <w:bookmarkStart w:id="387" w:name="_Toc214456872"/>
      <w:r>
        <w:lastRenderedPageBreak/>
        <w:t>SQL Server Stretch Database</w:t>
      </w:r>
      <w:bookmarkEnd w:id="384"/>
      <w:bookmarkEnd w:id="385"/>
      <w:bookmarkEnd w:id="387"/>
    </w:p>
    <w:bookmarkEnd w:id="386"/>
    <w:p w14:paraId="7C606DFB" w14:textId="77777777" w:rsidR="0017060C" w:rsidRPr="00EF7CF9" w:rsidRDefault="0017060C" w:rsidP="00DC1476">
      <w:pPr>
        <w:pStyle w:val="ProductList-Body"/>
        <w:keepNext/>
        <w:keepLines/>
      </w:pPr>
      <w:r>
        <w:rPr>
          <w:b/>
          <w:color w:val="00188F"/>
        </w:rPr>
        <w:t>Definições Adicionais</w:t>
      </w:r>
      <w:r w:rsidRPr="00473DD3">
        <w:rPr>
          <w:b/>
          <w:color w:val="00188F"/>
        </w:rPr>
        <w:t>:</w:t>
      </w:r>
    </w:p>
    <w:p w14:paraId="1A682C59" w14:textId="4D488D59" w:rsidR="0017060C" w:rsidRPr="00EF7CF9" w:rsidRDefault="00380305" w:rsidP="00F01ED6">
      <w:pPr>
        <w:pStyle w:val="ProductList-Body"/>
      </w:pPr>
      <w:r>
        <w:t>“</w:t>
      </w:r>
      <w:r w:rsidR="0017060C">
        <w:rPr>
          <w:b/>
          <w:color w:val="00188F"/>
        </w:rPr>
        <w:t>Base de Dados</w:t>
      </w:r>
      <w:r>
        <w:t>”</w:t>
      </w:r>
      <w:r w:rsidR="0017060C">
        <w:t xml:space="preserve"> designa uma instância de SQL Server Stretch Database.</w:t>
      </w:r>
    </w:p>
    <w:p w14:paraId="297A170B" w14:textId="40E5D781" w:rsidR="0017060C" w:rsidRPr="00EF7CF9" w:rsidRDefault="00380305" w:rsidP="00F01ED6">
      <w:pPr>
        <w:pStyle w:val="ProductList-Body"/>
      </w:pPr>
      <w:r>
        <w:t>“</w:t>
      </w:r>
      <w:r w:rsidR="0017060C">
        <w:rPr>
          <w:b/>
          <w:color w:val="00188F"/>
        </w:rPr>
        <w:t>Máximo de Minutos Disponíveis</w:t>
      </w:r>
      <w:r>
        <w:t>”</w:t>
      </w:r>
      <w:r w:rsidR="0017060C">
        <w:t xml:space="preserve"> designa o número total de minutos durante os quais uma determinada Base de Dados foi implementada numa determinada subscrição do Microsoft Azure durante um Período Aplicável.</w:t>
      </w:r>
    </w:p>
    <w:p w14:paraId="4BD2CA20" w14:textId="3CC6DAFB" w:rsidR="0017060C" w:rsidRPr="003B474A" w:rsidRDefault="0017060C" w:rsidP="00F01ED6">
      <w:pPr>
        <w:pStyle w:val="ProductList-Body"/>
        <w:rPr>
          <w:spacing w:val="-3"/>
        </w:rPr>
      </w:pPr>
      <w:r w:rsidRPr="003B474A">
        <w:rPr>
          <w:b/>
          <w:color w:val="00188F"/>
          <w:spacing w:val="-3"/>
        </w:rPr>
        <w:t>Período de Indisponibilidade</w:t>
      </w:r>
      <w:r w:rsidRPr="00473DD3">
        <w:rPr>
          <w:b/>
          <w:color w:val="00188F"/>
          <w:spacing w:val="-3"/>
        </w:rPr>
        <w:t>:</w:t>
      </w:r>
      <w:r w:rsidRPr="003B474A">
        <w:rPr>
          <w:spacing w:val="-3"/>
        </w:rPr>
        <w:t xml:space="preserve"> designa o total de minutos acumulados em todas as Bases de Dados implementadas pelo Cliente numa determinada subscrição do Microsoft Azure durante os quais a Base de Dados está indisponível. Um minuto é considerado indisponível para uma determinada Base de</w:t>
      </w:r>
      <w:r w:rsidR="003B474A">
        <w:rPr>
          <w:spacing w:val="-3"/>
        </w:rPr>
        <w:t> </w:t>
      </w:r>
      <w:r w:rsidRPr="003B474A">
        <w:rPr>
          <w:spacing w:val="-3"/>
        </w:rPr>
        <w:t>Dados se falharem todas as tentativas contínuas por parte do Cliente para estabelecer uma ligação com a Base de Dados nesse minuto falharem.</w:t>
      </w:r>
    </w:p>
    <w:p w14:paraId="6E461F47" w14:textId="41F0DD57" w:rsidR="0017060C" w:rsidRDefault="00AC48A7" w:rsidP="007442E8">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32AD4B7" w14:textId="18681B6F" w:rsidR="0017060C" w:rsidRPr="00EF7CF9" w:rsidRDefault="00000000" w:rsidP="003E36B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D2F35F0" w14:textId="77777777" w:rsidR="0017060C" w:rsidRPr="00EF7CF9" w:rsidRDefault="001706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1EF25" w14:textId="77777777" w:rsidR="0017060C" w:rsidRPr="00EF7CF9" w:rsidRDefault="0017060C" w:rsidP="00F01ED6">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277097">
        <w:tc>
          <w:tcPr>
            <w:tcW w:w="5400" w:type="dxa"/>
          </w:tcPr>
          <w:p w14:paraId="3FBEF90F" w14:textId="77777777" w:rsidR="0017060C" w:rsidRPr="00EF7CF9" w:rsidRDefault="0017060C" w:rsidP="00F01ED6">
            <w:pPr>
              <w:pStyle w:val="ProductList-OfferingBody"/>
              <w:jc w:val="center"/>
            </w:pPr>
            <w:r>
              <w:t>&lt; 99,9%</w:t>
            </w:r>
          </w:p>
        </w:tc>
        <w:tc>
          <w:tcPr>
            <w:tcW w:w="5400" w:type="dxa"/>
          </w:tcPr>
          <w:p w14:paraId="1C6584C7" w14:textId="77777777" w:rsidR="0017060C" w:rsidRPr="00EF7CF9" w:rsidRDefault="0017060C" w:rsidP="00F01ED6">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F01ED6">
            <w:pPr>
              <w:pStyle w:val="ProductList-OfferingBody"/>
              <w:jc w:val="center"/>
            </w:pPr>
            <w:r>
              <w:t>&lt; 99%</w:t>
            </w:r>
          </w:p>
        </w:tc>
        <w:tc>
          <w:tcPr>
            <w:tcW w:w="5400" w:type="dxa"/>
          </w:tcPr>
          <w:p w14:paraId="15E605CE" w14:textId="77777777" w:rsidR="0017060C" w:rsidRPr="00EF7CF9" w:rsidRDefault="0017060C" w:rsidP="00F01ED6">
            <w:pPr>
              <w:pStyle w:val="ProductList-OfferingBody"/>
              <w:jc w:val="center"/>
            </w:pPr>
            <w:r>
              <w:t>25%</w:t>
            </w:r>
          </w:p>
        </w:tc>
      </w:tr>
    </w:tbl>
    <w:p w14:paraId="1228600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AABEE67" w14:textId="77777777" w:rsidR="0017060C" w:rsidRPr="0017060C" w:rsidRDefault="0017060C" w:rsidP="00F01ED6">
      <w:pPr>
        <w:pStyle w:val="ProductList-Offering2Heading"/>
        <w:keepNext/>
        <w:tabs>
          <w:tab w:val="clear" w:pos="360"/>
          <w:tab w:val="clear" w:pos="720"/>
          <w:tab w:val="clear" w:pos="1080"/>
        </w:tabs>
        <w:outlineLvl w:val="2"/>
      </w:pPr>
      <w:bookmarkStart w:id="388" w:name="_Toc214456873"/>
      <w:r>
        <w:t>Aplicações Web Estáticas</w:t>
      </w:r>
      <w:bookmarkEnd w:id="388"/>
    </w:p>
    <w:p w14:paraId="30E5D55D" w14:textId="77777777" w:rsidR="0017060C" w:rsidRPr="0017060C" w:rsidRDefault="0017060C" w:rsidP="00F01ED6">
      <w:pPr>
        <w:pStyle w:val="ProductList-Body"/>
        <w:rPr>
          <w:b/>
          <w:bCs/>
          <w:color w:val="00188F"/>
        </w:rPr>
      </w:pPr>
      <w:r>
        <w:rPr>
          <w:b/>
          <w:bCs/>
          <w:color w:val="00188F"/>
        </w:rPr>
        <w:t>Definições Adicionais</w:t>
      </w:r>
    </w:p>
    <w:p w14:paraId="7C3712A5" w14:textId="6E09EFE1" w:rsidR="0017060C" w:rsidRDefault="00380305" w:rsidP="00F01ED6">
      <w:pPr>
        <w:pStyle w:val="ProductList-Body"/>
      </w:pPr>
      <w:r>
        <w:t>“</w:t>
      </w:r>
      <w:r w:rsidR="0017060C">
        <w:rPr>
          <w:b/>
          <w:bCs/>
          <w:color w:val="00188F"/>
        </w:rPr>
        <w:t>Minutos de Implementação</w:t>
      </w:r>
      <w:r>
        <w:t>”</w:t>
      </w:r>
      <w:r w:rsidR="0017060C">
        <w:t xml:space="preserve"> designa o número total de minutos durante os quais uma determinada Aplicação foi definida para ser executada no Microsoft Azure durante um Período Aplicável. Os Minutos de Implementação são calculados a partir do momento em que a Aplicação foi criada ou</w:t>
      </w:r>
      <w:r w:rsidR="007674D1">
        <w:t> </w:t>
      </w:r>
      <w:r w:rsidR="0017060C">
        <w:t>o Cliente iniciou uma ação que resultaria na execução da Aplicação até ao momento em que o Cliente iniciou uma ação que resultaria na interrupção ou eliminação da Aplicação.</w:t>
      </w:r>
    </w:p>
    <w:p w14:paraId="2CF8C7A3" w14:textId="16C3989D" w:rsidR="0017060C" w:rsidRDefault="00380305" w:rsidP="00F01ED6">
      <w:pPr>
        <w:pStyle w:val="ProductList-Body"/>
      </w:pPr>
      <w:r>
        <w:t>“</w:t>
      </w:r>
      <w:r w:rsidR="0017060C">
        <w:rPr>
          <w:b/>
          <w:bCs/>
          <w:color w:val="00188F"/>
        </w:rPr>
        <w:t>Máximo de Minutos Disponíveis</w:t>
      </w:r>
      <w:r>
        <w:t>”</w:t>
      </w:r>
      <w:r w:rsidR="0017060C">
        <w:t xml:space="preserve"> designa a soma de todos os Minutos de Implementação em todas as Aplicações implementadas pelo Cliente numa determinada subscrição do Microsoft Azure durante um Período Aplicável.</w:t>
      </w:r>
    </w:p>
    <w:p w14:paraId="73041906" w14:textId="3D9EEEF1" w:rsidR="0017060C" w:rsidRDefault="00380305" w:rsidP="00F01ED6">
      <w:pPr>
        <w:pStyle w:val="ProductList-Body"/>
      </w:pPr>
      <w:r>
        <w:t>“</w:t>
      </w:r>
      <w:r w:rsidR="0017060C">
        <w:rPr>
          <w:b/>
          <w:bCs/>
          <w:color w:val="00188F"/>
        </w:rPr>
        <w:t>Aplicação</w:t>
      </w:r>
      <w:r>
        <w:t>”</w:t>
      </w:r>
      <w:r w:rsidR="0017060C">
        <w:t xml:space="preserve"> é uma aplicação Web implementada pelo Cliente nas aplicações Web Estáticas.</w:t>
      </w:r>
    </w:p>
    <w:p w14:paraId="7849AF2E" w14:textId="77777777" w:rsidR="0017060C" w:rsidRDefault="0017060C" w:rsidP="00F01ED6">
      <w:pPr>
        <w:pStyle w:val="ProductList-Body"/>
      </w:pPr>
      <w:r>
        <w:rPr>
          <w:b/>
          <w:bCs/>
          <w:color w:val="00188F"/>
        </w:rPr>
        <w:t>Período de Indisponibilidade:</w:t>
      </w:r>
      <w:r>
        <w:t xml:space="preserve"> O total de Minutos de Implementação acumulados,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4C60B400" w14:textId="6CE15D80" w:rsidR="0017060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147DC32C" w14:textId="56DCC064" w:rsidR="0017060C" w:rsidRPr="00EF7CF9" w:rsidRDefault="00000000" w:rsidP="003E36B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63CB418" w14:textId="2A3C4401" w:rsidR="0017060C" w:rsidRPr="00B00BE0" w:rsidRDefault="0017060C"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BB82AA" w14:textId="77777777" w:rsidR="00B00BE0" w:rsidRPr="00EF7CF9" w:rsidRDefault="00B00BE0" w:rsidP="00F01ED6">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277097">
        <w:tc>
          <w:tcPr>
            <w:tcW w:w="5400" w:type="dxa"/>
          </w:tcPr>
          <w:p w14:paraId="65BC5D0B" w14:textId="16428DF9" w:rsidR="00B00BE0" w:rsidRPr="00EF7CF9" w:rsidRDefault="00B00BE0" w:rsidP="00F01ED6">
            <w:pPr>
              <w:pStyle w:val="ProductList-OfferingBody"/>
              <w:jc w:val="center"/>
            </w:pPr>
            <w:r>
              <w:t>&lt; 99,95%</w:t>
            </w:r>
          </w:p>
        </w:tc>
        <w:tc>
          <w:tcPr>
            <w:tcW w:w="5400" w:type="dxa"/>
          </w:tcPr>
          <w:p w14:paraId="064A4A90" w14:textId="77777777" w:rsidR="00B00BE0" w:rsidRPr="00EF7CF9" w:rsidRDefault="00B00BE0" w:rsidP="00F01ED6">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F01ED6">
            <w:pPr>
              <w:pStyle w:val="ProductList-OfferingBody"/>
              <w:jc w:val="center"/>
            </w:pPr>
            <w:r>
              <w:t>&lt; 99%</w:t>
            </w:r>
          </w:p>
        </w:tc>
        <w:tc>
          <w:tcPr>
            <w:tcW w:w="5400" w:type="dxa"/>
          </w:tcPr>
          <w:p w14:paraId="5AC50C71" w14:textId="77777777" w:rsidR="00B00BE0" w:rsidRPr="00EF7CF9" w:rsidRDefault="00B00BE0" w:rsidP="00F01ED6">
            <w:pPr>
              <w:pStyle w:val="ProductList-OfferingBody"/>
              <w:jc w:val="center"/>
            </w:pPr>
            <w:r>
              <w:t>25%</w:t>
            </w:r>
          </w:p>
        </w:tc>
      </w:tr>
    </w:tbl>
    <w:p w14:paraId="62E029BE" w14:textId="77777777" w:rsidR="0017060C" w:rsidRDefault="0017060C" w:rsidP="007442E8">
      <w:pPr>
        <w:pStyle w:val="ProductList-Body"/>
        <w:spacing w:before="120"/>
      </w:pPr>
      <w:r>
        <w:rPr>
          <w:b/>
          <w:bCs/>
          <w:color w:val="00188F"/>
        </w:rPr>
        <w:t>Termos Adicionais:</w:t>
      </w:r>
      <w:r>
        <w:t xml:space="preserve"> Os Créditos de Serviço só são aplicáveis a taxas passíveis de serem atribuídas à utilização que o Cliente faz das aplicações Web estáticas e não a taxas passíveis de serem atribuídas a outros tipos de aplicações disponíveis.</w:t>
      </w:r>
    </w:p>
    <w:p w14:paraId="67E45F57" w14:textId="77777777" w:rsidR="00A72CAC" w:rsidRPr="00EF7CF9" w:rsidRDefault="00A72CAC" w:rsidP="00A72CA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25E1738F" w14:textId="0D569D00" w:rsidR="00E96EE7" w:rsidRPr="00EF7CF9" w:rsidRDefault="00E96EE7" w:rsidP="007442E8">
      <w:pPr>
        <w:pStyle w:val="ProductList-Offering2Heading"/>
        <w:tabs>
          <w:tab w:val="clear" w:pos="360"/>
          <w:tab w:val="clear" w:pos="720"/>
          <w:tab w:val="clear" w:pos="1080"/>
        </w:tabs>
        <w:spacing w:before="200"/>
        <w:outlineLvl w:val="2"/>
      </w:pPr>
      <w:bookmarkStart w:id="389" w:name="_Toc457821581"/>
      <w:bookmarkStart w:id="390" w:name="_Toc52348990"/>
      <w:bookmarkStart w:id="391" w:name="_Toc214456874"/>
      <w:bookmarkStart w:id="392" w:name="StorageService"/>
      <w:r>
        <w:t xml:space="preserve">Contas de </w:t>
      </w:r>
      <w:bookmarkEnd w:id="389"/>
      <w:bookmarkEnd w:id="390"/>
      <w:r>
        <w:t>Armazenamento</w:t>
      </w:r>
      <w:bookmarkEnd w:id="391"/>
    </w:p>
    <w:p w14:paraId="23EED279" w14:textId="77777777" w:rsidR="00D25E5E" w:rsidRPr="00851B3D" w:rsidRDefault="00D25E5E" w:rsidP="00D25E5E">
      <w:pPr>
        <w:pStyle w:val="ProductList-Body"/>
        <w:rPr>
          <w:rFonts w:ascii="Calibri" w:hAnsi="Calibri" w:cs="Calibri"/>
        </w:rPr>
      </w:pPr>
      <w:bookmarkStart w:id="393" w:name="StorSimple"/>
      <w:bookmarkStart w:id="394" w:name="_Toc52349011"/>
      <w:bookmarkEnd w:id="392"/>
      <w:r>
        <w:rPr>
          <w:rFonts w:ascii="Calibri" w:hAnsi="Calibri" w:cs="Calibri"/>
          <w:b/>
          <w:color w:val="00188F"/>
        </w:rPr>
        <w:t>Definições Adicionais</w:t>
      </w:r>
      <w:r>
        <w:rPr>
          <w:rFonts w:ascii="Calibri" w:hAnsi="Calibri" w:cs="Calibri"/>
        </w:rPr>
        <w:t>:</w:t>
      </w:r>
    </w:p>
    <w:p w14:paraId="1C0D39E3" w14:textId="77777777" w:rsidR="00D25E5E" w:rsidRPr="00851B3D"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Camada de Acesso de Arquivo</w:t>
      </w:r>
      <w:r>
        <w:rPr>
          <w:rFonts w:ascii="Calibri" w:hAnsi="Calibri" w:cs="Calibri"/>
        </w:rPr>
        <w:t>”</w:t>
      </w:r>
      <w:r>
        <w:rPr>
          <w:rFonts w:ascii="Calibri" w:hAnsi="Calibri" w:cs="Calibri"/>
          <w:b/>
          <w:color w:val="00188F"/>
        </w:rPr>
        <w:t xml:space="preserve"> </w:t>
      </w:r>
      <w:r>
        <w:rPr>
          <w:rFonts w:ascii="Calibri" w:hAnsi="Calibri" w:cs="Calibri"/>
        </w:rPr>
        <w:t xml:space="preserve">designa uma camada otimizada para armazenar os dados que raramente são acedidos e que têm requisitos de latência flexíveis, na ordem das horas. </w:t>
      </w:r>
    </w:p>
    <w:p w14:paraId="42726958" w14:textId="77777777" w:rsidR="00D25E5E" w:rsidRPr="00851B3D" w:rsidRDefault="00D25E5E" w:rsidP="00D25E5E">
      <w:pPr>
        <w:pStyle w:val="ProductList-Body"/>
        <w:rPr>
          <w:rFonts w:ascii="Calibri" w:hAnsi="Calibri" w:cs="Calibri"/>
        </w:rPr>
      </w:pPr>
      <w:r w:rsidRPr="00FD0218">
        <w:rPr>
          <w:rFonts w:ascii="Calibri" w:hAnsi="Calibri" w:cs="Calibri"/>
        </w:rPr>
        <w:t xml:space="preserve">A </w:t>
      </w:r>
      <w:r>
        <w:rPr>
          <w:rFonts w:ascii="Calibri" w:hAnsi="Calibri" w:cs="Calibri"/>
        </w:rPr>
        <w:t>“</w:t>
      </w:r>
      <w:r>
        <w:rPr>
          <w:rFonts w:ascii="Calibri" w:hAnsi="Calibri" w:cs="Calibri"/>
          <w:b/>
          <w:color w:val="00188F"/>
        </w:rPr>
        <w:t>Taxa Média de Erros</w:t>
      </w:r>
      <w:r>
        <w:rPr>
          <w:rFonts w:ascii="Calibri" w:hAnsi="Calibri" w:cs="Calibri"/>
        </w:rPr>
        <w:t>”</w:t>
      </w:r>
      <w:r>
        <w:rPr>
          <w:rFonts w:ascii="Calibri" w:hAnsi="Calibri" w:cs="Calibri"/>
          <w:b/>
          <w:color w:val="00188F"/>
        </w:rPr>
        <w:t xml:space="preserve"> </w:t>
      </w:r>
      <w:r>
        <w:rPr>
          <w:rFonts w:ascii="Calibri" w:hAnsi="Calibri" w:cs="Calibri"/>
        </w:rPr>
        <w:t>para</w:t>
      </w:r>
      <w:r>
        <w:rPr>
          <w:rFonts w:ascii="Calibri" w:hAnsi="Calibri" w:cs="Calibri"/>
          <w:b/>
          <w:color w:val="00188F"/>
        </w:rPr>
        <w:t xml:space="preserve"> </w:t>
      </w:r>
      <w:r>
        <w:rPr>
          <w:rFonts w:ascii="Calibri" w:hAnsi="Calibri" w:cs="Calibri"/>
        </w:rPr>
        <w:t xml:space="preserve">um Período Aplicável designa a soma das Taxas de Erros para cada hora no Período Aplicável a dividir pelo número total de horas no Período Aplicável. </w:t>
      </w:r>
    </w:p>
    <w:p w14:paraId="3A40316E" w14:textId="77777777" w:rsidR="00D25E5E" w:rsidRPr="00851B3D" w:rsidRDefault="00D25E5E" w:rsidP="00D25E5E">
      <w:pPr>
        <w:pStyle w:val="ProductList-Body"/>
        <w:rPr>
          <w:rFonts w:ascii="Calibri" w:hAnsi="Calibri" w:cs="Calibri"/>
        </w:rPr>
      </w:pPr>
      <w:r>
        <w:rPr>
          <w:rFonts w:ascii="Calibri" w:hAnsi="Calibri" w:cs="Calibri"/>
          <w:bCs/>
        </w:rPr>
        <w:t>“</w:t>
      </w:r>
      <w:r>
        <w:rPr>
          <w:rFonts w:ascii="Calibri" w:hAnsi="Calibri" w:cs="Calibri"/>
          <w:b/>
          <w:bCs/>
          <w:color w:val="00188F"/>
        </w:rPr>
        <w:t>Conta de Armazenamento de Blob</w:t>
      </w:r>
      <w:r>
        <w:rPr>
          <w:rFonts w:ascii="Calibri" w:hAnsi="Calibri" w:cs="Calibri"/>
          <w:bCs/>
        </w:rPr>
        <w:t>”</w:t>
      </w:r>
      <w:r>
        <w:rPr>
          <w:rFonts w:ascii="Calibri" w:hAnsi="Calibri" w:cs="Calibri"/>
        </w:rPr>
        <w:t xml:space="preserve"> designa uma conta de armazenamento especializada no armazenamento de dados como blobs e permite especificar uma camada de acesso que indica a frequência com que os dados nessa conta são acedidos.</w:t>
      </w:r>
    </w:p>
    <w:p w14:paraId="4BB52858" w14:textId="77777777" w:rsidR="00D25E5E" w:rsidRPr="00851B3D" w:rsidRDefault="00D25E5E" w:rsidP="00D25E5E">
      <w:pPr>
        <w:pStyle w:val="ProductList-Body"/>
        <w:rPr>
          <w:rFonts w:ascii="Calibri" w:hAnsi="Calibri" w:cs="Calibri"/>
        </w:rPr>
      </w:pPr>
      <w:r>
        <w:rPr>
          <w:rFonts w:ascii="Calibri" w:hAnsi="Calibri" w:cs="Calibri"/>
          <w:bCs/>
        </w:rPr>
        <w:t>“</w:t>
      </w:r>
      <w:r>
        <w:rPr>
          <w:rFonts w:ascii="Calibri" w:hAnsi="Calibri" w:cs="Calibri"/>
          <w:b/>
          <w:bCs/>
          <w:color w:val="00188F"/>
        </w:rPr>
        <w:t>Conta de Armazenamento de Blobs de Blocos</w:t>
      </w:r>
      <w:r>
        <w:rPr>
          <w:rFonts w:ascii="Calibri" w:hAnsi="Calibri" w:cs="Calibri"/>
          <w:bCs/>
        </w:rPr>
        <w:t>”</w:t>
      </w:r>
      <w:r>
        <w:rPr>
          <w:rFonts w:ascii="Calibri" w:hAnsi="Calibri" w:cs="Calibri"/>
        </w:rPr>
        <w:t xml:space="preserve"> designa uma conta de armazenamento especializada no armazenamento de dados como blobs de blocos ou de acréscimo em unidades de estado sólido.</w:t>
      </w:r>
    </w:p>
    <w:p w14:paraId="7FD99A92" w14:textId="77777777" w:rsidR="00D25E5E" w:rsidRPr="00851B3D" w:rsidRDefault="00D25E5E" w:rsidP="00D25E5E">
      <w:pPr>
        <w:pStyle w:val="ProductList-Body"/>
        <w:rPr>
          <w:rFonts w:ascii="Calibri" w:hAnsi="Calibri" w:cs="Calibri"/>
        </w:rPr>
      </w:pPr>
      <w:r>
        <w:rPr>
          <w:rFonts w:ascii="Calibri" w:hAnsi="Calibri" w:cs="Calibri"/>
          <w:bCs/>
        </w:rPr>
        <w:t>“</w:t>
      </w:r>
      <w:r>
        <w:rPr>
          <w:rFonts w:ascii="Calibri" w:hAnsi="Calibri" w:cs="Calibri"/>
          <w:b/>
          <w:bCs/>
          <w:color w:val="00188F"/>
        </w:rPr>
        <w:t>Camada de Acesso Infrequente</w:t>
      </w:r>
      <w:r>
        <w:rPr>
          <w:rFonts w:ascii="Calibri" w:hAnsi="Calibri" w:cs="Calibri"/>
          <w:bCs/>
        </w:rPr>
        <w:t>”</w:t>
      </w:r>
      <w:r>
        <w:rPr>
          <w:rFonts w:ascii="Calibri" w:hAnsi="Calibri" w:cs="Calibri"/>
        </w:rPr>
        <w:t xml:space="preserve"> designa um atributo de um blob ou conta que indica que estes são acedidos raramente e tem um nível de serviço de disponibilidade inferior aos blobs na Camada de Acesso Frequente.</w:t>
      </w:r>
    </w:p>
    <w:p w14:paraId="5A0BD4BD" w14:textId="77777777" w:rsidR="00D25E5E" w:rsidRPr="00851B3D" w:rsidRDefault="00D25E5E" w:rsidP="00D25E5E">
      <w:pPr>
        <w:pStyle w:val="ProductList-Body"/>
        <w:rPr>
          <w:rFonts w:ascii="Calibri" w:hAnsi="Calibri" w:cs="Calibri"/>
        </w:rPr>
      </w:pPr>
      <w:r>
        <w:rPr>
          <w:rFonts w:ascii="Calibri" w:hAnsi="Calibri" w:cs="Calibri"/>
          <w:bCs/>
        </w:rPr>
        <w:lastRenderedPageBreak/>
        <w:t>“</w:t>
      </w:r>
      <w:r>
        <w:rPr>
          <w:rFonts w:ascii="Calibri" w:hAnsi="Calibri" w:cs="Calibri"/>
          <w:b/>
          <w:bCs/>
          <w:color w:val="00188F"/>
        </w:rPr>
        <w:t>Camada de Acesso Esporádico</w:t>
      </w:r>
      <w:r>
        <w:rPr>
          <w:rFonts w:ascii="Calibri" w:hAnsi="Calibri" w:cs="Calibri"/>
          <w:bCs/>
        </w:rPr>
        <w:t>”</w:t>
      </w:r>
      <w:r>
        <w:rPr>
          <w:rFonts w:ascii="Calibri" w:hAnsi="Calibri" w:cs="Calibri"/>
        </w:rPr>
        <w:t xml:space="preserve"> designa um atributo de um blob ou de uma conta que indica que o acesso é pouco frequente e tem um nível de serviço de disponibilidade mais baixo do que os blobs na Camada de Acesso Frequente.</w:t>
      </w:r>
    </w:p>
    <w:p w14:paraId="12ED40B0" w14:textId="77777777" w:rsidR="00D25E5E" w:rsidRPr="00851B3D"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Camada de Acesso Frequente</w:t>
      </w:r>
      <w:r>
        <w:rPr>
          <w:rFonts w:ascii="Calibri" w:hAnsi="Calibri" w:cs="Calibri"/>
        </w:rPr>
        <w:t>” designa um atributo de um blob, partilha de ficheiros ou conta que indica que é frequentemente acedida.</w:t>
      </w:r>
    </w:p>
    <w:p w14:paraId="32D7543D" w14:textId="77777777" w:rsidR="00D25E5E" w:rsidRPr="00851B3D"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Transações Excluídas</w:t>
      </w:r>
      <w:r>
        <w:rPr>
          <w:rFonts w:ascii="Calibri" w:hAnsi="Calibri" w:cs="Calibri"/>
        </w:rPr>
        <w:t>” designa as transações de armazenamento que não são consideradas como Total de Transações de Armazenamento ou Transações de Armazenamento com Falhas.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09C779C3" w14:textId="77777777" w:rsidR="00D25E5E" w:rsidRPr="00851B3D"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Taxa de Erros</w:t>
      </w:r>
      <w:r>
        <w:rPr>
          <w:rFonts w:ascii="Calibri" w:hAnsi="Calibri" w:cs="Calibri"/>
        </w:rPr>
        <w:t>” designa o número total de Transações de Armazenamento com Falhas a dividir pelo Total de Transações de Armazenamento durante um período de tempo determinado (atualmente uma hora). Se o Total de Transações de Armazenamento num intervalo de uma hora for zero, a taxa de erros para esse intervalo é 0%.</w:t>
      </w:r>
    </w:p>
    <w:p w14:paraId="4496D9E6" w14:textId="77777777" w:rsidR="00D25E5E" w:rsidRPr="00851B3D"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Transações de Armazenamento com Falha</w:t>
      </w:r>
      <w:r>
        <w:rPr>
          <w:rFonts w:ascii="Calibri" w:hAnsi="Calibri" w:cs="Calibri"/>
        </w:rPr>
        <w:t>” designa o conjunto de todas as transações de armazenamento no Total de Transações de Armazenamento que não são concluídas no Tempo Máximo de Processamento associado ao respetivo tipo de transação, tal como especificado na tabela abaixo. O Tempo Máximo de Processamento inclui apenas o tempo despendido no processamento de um pedido de transação no Serviço de Armazenamento e não inclui nenhum tempo despendido na transferência do pedido para ou do Serviço de Armazenamento.</w:t>
      </w:r>
    </w:p>
    <w:p w14:paraId="6A321EE6" w14:textId="77777777" w:rsidR="00D25E5E" w:rsidRDefault="00D25E5E" w:rsidP="00D25E5E">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2E968F4C" w14:textId="77777777" w:rsidTr="008367CC">
        <w:trPr>
          <w:trHeight w:val="245"/>
          <w:tblHeader/>
        </w:trPr>
        <w:tc>
          <w:tcPr>
            <w:tcW w:w="5400" w:type="dxa"/>
            <w:shd w:val="clear" w:color="auto" w:fill="0072C6"/>
          </w:tcPr>
          <w:p w14:paraId="1FD84F4C" w14:textId="77777777" w:rsidR="00D25E5E" w:rsidRPr="00B01FAB" w:rsidRDefault="00D25E5E"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Tipos de Transação</w:t>
            </w:r>
          </w:p>
        </w:tc>
        <w:tc>
          <w:tcPr>
            <w:tcW w:w="5400" w:type="dxa"/>
            <w:shd w:val="clear" w:color="auto" w:fill="0072C6"/>
          </w:tcPr>
          <w:p w14:paraId="4866E61C" w14:textId="77777777" w:rsidR="00D25E5E" w:rsidRPr="00B01FAB" w:rsidRDefault="00D25E5E"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Tempo Máximo de Processamento</w:t>
            </w:r>
          </w:p>
        </w:tc>
      </w:tr>
      <w:tr w:rsidR="00D25E5E" w:rsidRPr="00B44CF9" w14:paraId="1746F275" w14:textId="77777777" w:rsidTr="008367CC">
        <w:trPr>
          <w:trHeight w:val="446"/>
        </w:trPr>
        <w:tc>
          <w:tcPr>
            <w:tcW w:w="5400" w:type="dxa"/>
          </w:tcPr>
          <w:p w14:paraId="61042941" w14:textId="77777777" w:rsidR="00D25E5E" w:rsidRPr="00B01FAB" w:rsidRDefault="00D25E5E" w:rsidP="008367CC">
            <w:pPr>
              <w:pStyle w:val="ProductList-OfferingBody"/>
              <w:rPr>
                <w:rFonts w:ascii="Calibri" w:hAnsi="Calibri" w:cs="Calibri"/>
                <w:szCs w:val="16"/>
              </w:rPr>
            </w:pPr>
            <w:r>
              <w:rPr>
                <w:rFonts w:ascii="Calibri" w:hAnsi="Calibri" w:cs="Calibri"/>
                <w:szCs w:val="16"/>
              </w:rPr>
              <w:t>PutBlob e GetBlob (inclui blocos e páginas)</w:t>
            </w:r>
          </w:p>
          <w:p w14:paraId="77AF89DD" w14:textId="77777777" w:rsidR="00D25E5E" w:rsidRPr="00B01FAB" w:rsidRDefault="00D25E5E" w:rsidP="008367CC">
            <w:pPr>
              <w:pStyle w:val="ProductList-OfferingBody"/>
              <w:rPr>
                <w:rFonts w:ascii="Calibri" w:hAnsi="Calibri" w:cs="Calibri"/>
                <w:szCs w:val="16"/>
              </w:rPr>
            </w:pPr>
            <w:r>
              <w:rPr>
                <w:rFonts w:ascii="Calibri" w:hAnsi="Calibri" w:cs="Calibri"/>
                <w:szCs w:val="16"/>
              </w:rPr>
              <w:t>Obter Intervalos de Blob de Página Válidos</w:t>
            </w:r>
          </w:p>
        </w:tc>
        <w:tc>
          <w:tcPr>
            <w:tcW w:w="5400" w:type="dxa"/>
          </w:tcPr>
          <w:p w14:paraId="2448C8AA"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Dois (2) segundos multiplicados pelo número de MBs transferidos no decorrer do processamento do pedido</w:t>
            </w:r>
          </w:p>
        </w:tc>
      </w:tr>
      <w:tr w:rsidR="00D25E5E" w:rsidRPr="00B44CF9" w14:paraId="37DC74DA" w14:textId="77777777" w:rsidTr="008367CC">
        <w:trPr>
          <w:trHeight w:val="446"/>
        </w:trPr>
        <w:tc>
          <w:tcPr>
            <w:tcW w:w="5400" w:type="dxa"/>
          </w:tcPr>
          <w:p w14:paraId="17D03E09" w14:textId="77777777" w:rsidR="00D25E5E" w:rsidRPr="00B01FAB" w:rsidRDefault="00D25E5E" w:rsidP="008367CC">
            <w:pPr>
              <w:pStyle w:val="ProductList-OfferingBody"/>
              <w:rPr>
                <w:rFonts w:ascii="Calibri" w:hAnsi="Calibri" w:cs="Calibri"/>
                <w:szCs w:val="16"/>
              </w:rPr>
            </w:pPr>
            <w:r>
              <w:rPr>
                <w:rFonts w:ascii="Calibri" w:hAnsi="Calibri" w:cs="Calibri"/>
                <w:szCs w:val="16"/>
              </w:rPr>
              <w:t xml:space="preserve">PutFile e GetFile </w:t>
            </w:r>
          </w:p>
        </w:tc>
        <w:tc>
          <w:tcPr>
            <w:tcW w:w="5400" w:type="dxa"/>
          </w:tcPr>
          <w:p w14:paraId="2AE89658" w14:textId="77777777" w:rsidR="00D25E5E" w:rsidRPr="00B01FAB" w:rsidRDefault="00D25E5E" w:rsidP="008367CC">
            <w:pPr>
              <w:pStyle w:val="ProductList-OfferingBody"/>
              <w:rPr>
                <w:rFonts w:ascii="Calibri" w:eastAsia="Times New Roman" w:hAnsi="Calibri" w:cs="Calibri"/>
                <w:szCs w:val="16"/>
              </w:rPr>
            </w:pPr>
            <w:r>
              <w:rPr>
                <w:rFonts w:ascii="Calibri" w:hAnsi="Calibri" w:cs="Calibri"/>
                <w:szCs w:val="16"/>
              </w:rPr>
              <w:t>Dois (2) segundos multiplicados pelo número de MBs transferidos no decorrer do processamento do pedido</w:t>
            </w:r>
          </w:p>
        </w:tc>
      </w:tr>
      <w:tr w:rsidR="00D25E5E" w:rsidRPr="00B44CF9" w14:paraId="18C75759" w14:textId="77777777" w:rsidTr="008367CC">
        <w:trPr>
          <w:trHeight w:val="446"/>
        </w:trPr>
        <w:tc>
          <w:tcPr>
            <w:tcW w:w="5400" w:type="dxa"/>
          </w:tcPr>
          <w:p w14:paraId="1F7BA298" w14:textId="77777777" w:rsidR="00D25E5E" w:rsidRPr="00B01FAB" w:rsidRDefault="00D25E5E" w:rsidP="008367CC">
            <w:pPr>
              <w:pStyle w:val="ProductList-OfferingBody"/>
              <w:rPr>
                <w:rFonts w:ascii="Calibri" w:hAnsi="Calibri" w:cs="Calibri"/>
                <w:szCs w:val="16"/>
              </w:rPr>
            </w:pPr>
            <w:r>
              <w:rPr>
                <w:rFonts w:ascii="Calibri" w:hAnsi="Calibri" w:cs="Calibri"/>
                <w:szCs w:val="16"/>
              </w:rPr>
              <w:t>Copiar Blob</w:t>
            </w:r>
          </w:p>
        </w:tc>
        <w:tc>
          <w:tcPr>
            <w:tcW w:w="5400" w:type="dxa"/>
          </w:tcPr>
          <w:p w14:paraId="65195B10"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Noventa (90) segundos (em que os blobs de origem e de destino se encontram na mesma conta de armazenamento)</w:t>
            </w:r>
          </w:p>
        </w:tc>
      </w:tr>
      <w:tr w:rsidR="00D25E5E" w:rsidRPr="00B44CF9" w14:paraId="2DBD9462" w14:textId="77777777" w:rsidTr="008367CC">
        <w:trPr>
          <w:trHeight w:val="446"/>
        </w:trPr>
        <w:tc>
          <w:tcPr>
            <w:tcW w:w="5400" w:type="dxa"/>
          </w:tcPr>
          <w:p w14:paraId="326E9F57" w14:textId="77777777" w:rsidR="00D25E5E" w:rsidRPr="00B01FAB" w:rsidRDefault="00D25E5E" w:rsidP="008367CC">
            <w:pPr>
              <w:pStyle w:val="ProductList-OfferingBody"/>
              <w:rPr>
                <w:rFonts w:ascii="Calibri" w:hAnsi="Calibri" w:cs="Calibri"/>
                <w:szCs w:val="16"/>
              </w:rPr>
            </w:pPr>
            <w:r>
              <w:rPr>
                <w:rFonts w:ascii="Calibri" w:hAnsi="Calibri" w:cs="Calibri"/>
                <w:szCs w:val="16"/>
              </w:rPr>
              <w:t>Copiar Ficheiro</w:t>
            </w:r>
          </w:p>
        </w:tc>
        <w:tc>
          <w:tcPr>
            <w:tcW w:w="5400" w:type="dxa"/>
          </w:tcPr>
          <w:p w14:paraId="58E39450" w14:textId="77777777" w:rsidR="00D25E5E" w:rsidRPr="00B01FAB" w:rsidRDefault="00D25E5E" w:rsidP="008367CC">
            <w:pPr>
              <w:pStyle w:val="ProductList-OfferingBody"/>
              <w:rPr>
                <w:rFonts w:ascii="Calibri" w:eastAsia="Times New Roman" w:hAnsi="Calibri" w:cs="Calibri"/>
                <w:szCs w:val="16"/>
              </w:rPr>
            </w:pPr>
            <w:r>
              <w:rPr>
                <w:rFonts w:ascii="Calibri" w:hAnsi="Calibri" w:cs="Calibri"/>
                <w:szCs w:val="16"/>
              </w:rPr>
              <w:t>Noventa (90) segundos (em que os ficheiros de origem e de destino se encontram na mesma conta de armazenamento)</w:t>
            </w:r>
          </w:p>
        </w:tc>
      </w:tr>
      <w:tr w:rsidR="00D25E5E" w:rsidRPr="00B44CF9" w14:paraId="7929852F" w14:textId="77777777" w:rsidTr="008367CC">
        <w:trPr>
          <w:trHeight w:val="446"/>
        </w:trPr>
        <w:tc>
          <w:tcPr>
            <w:tcW w:w="5400" w:type="dxa"/>
          </w:tcPr>
          <w:p w14:paraId="5CF24CD7" w14:textId="77777777" w:rsidR="00D25E5E" w:rsidRPr="00B01FAB" w:rsidRDefault="00D25E5E" w:rsidP="008367CC">
            <w:pPr>
              <w:pStyle w:val="ProductList-OfferingBody"/>
              <w:rPr>
                <w:rFonts w:ascii="Calibri" w:eastAsia="Calibri" w:hAnsi="Calibri" w:cs="Calibri"/>
                <w:szCs w:val="16"/>
              </w:rPr>
            </w:pPr>
            <w:r>
              <w:rPr>
                <w:rFonts w:ascii="Calibri" w:hAnsi="Calibri" w:cs="Calibri"/>
                <w:szCs w:val="16"/>
              </w:rPr>
              <w:t xml:space="preserve">PutBlockList </w:t>
            </w:r>
          </w:p>
          <w:p w14:paraId="567ABAC2" w14:textId="77777777" w:rsidR="00D25E5E" w:rsidRPr="00B01FAB" w:rsidRDefault="00D25E5E"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3D5B7879"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Sessenta (60) segundos</w:t>
            </w:r>
          </w:p>
        </w:tc>
      </w:tr>
      <w:tr w:rsidR="00D25E5E" w:rsidRPr="00B44CF9" w14:paraId="2F78B20E" w14:textId="77777777" w:rsidTr="008367CC">
        <w:trPr>
          <w:trHeight w:val="446"/>
        </w:trPr>
        <w:tc>
          <w:tcPr>
            <w:tcW w:w="5400" w:type="dxa"/>
          </w:tcPr>
          <w:p w14:paraId="48E74400" w14:textId="77777777" w:rsidR="00D25E5E" w:rsidRPr="00B01FAB" w:rsidRDefault="00D25E5E" w:rsidP="008367CC">
            <w:pPr>
              <w:pStyle w:val="ProductList-OfferingBody"/>
              <w:rPr>
                <w:rFonts w:ascii="Calibri" w:hAnsi="Calibri" w:cs="Calibri"/>
                <w:szCs w:val="16"/>
              </w:rPr>
            </w:pPr>
            <w:r>
              <w:rPr>
                <w:rFonts w:ascii="Calibri" w:hAnsi="Calibri" w:cs="Calibri"/>
                <w:szCs w:val="16"/>
              </w:rPr>
              <w:t>Consulta de Tabela</w:t>
            </w:r>
          </w:p>
          <w:p w14:paraId="6B288B70" w14:textId="77777777" w:rsidR="00D25E5E" w:rsidRPr="00B01FAB" w:rsidRDefault="00D25E5E" w:rsidP="008367CC">
            <w:pPr>
              <w:pStyle w:val="ProductList-OfferingBody"/>
              <w:rPr>
                <w:rFonts w:ascii="Calibri" w:hAnsi="Calibri" w:cs="Calibri"/>
                <w:szCs w:val="16"/>
              </w:rPr>
            </w:pPr>
            <w:r>
              <w:rPr>
                <w:rFonts w:ascii="Calibri" w:hAnsi="Calibri" w:cs="Calibri"/>
                <w:szCs w:val="16"/>
              </w:rPr>
              <w:t>Listar Operações</w:t>
            </w:r>
          </w:p>
          <w:p w14:paraId="0D7A46EB" w14:textId="77777777" w:rsidR="00D25E5E" w:rsidRPr="00B01FAB" w:rsidRDefault="00D25E5E" w:rsidP="008367CC">
            <w:pPr>
              <w:pStyle w:val="ProductList-Body"/>
              <w:rPr>
                <w:rFonts w:ascii="Calibri" w:hAnsi="Calibri" w:cs="Calibri"/>
                <w:sz w:val="16"/>
                <w:szCs w:val="16"/>
              </w:rPr>
            </w:pPr>
            <w:r>
              <w:rPr>
                <w:rFonts w:ascii="Calibri" w:hAnsi="Calibri" w:cs="Calibri"/>
                <w:sz w:val="16"/>
                <w:szCs w:val="16"/>
              </w:rPr>
              <w:t>Operações de Localização</w:t>
            </w:r>
          </w:p>
        </w:tc>
        <w:tc>
          <w:tcPr>
            <w:tcW w:w="5400" w:type="dxa"/>
          </w:tcPr>
          <w:p w14:paraId="26FF6955"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Dez (10) segundos (para concluir o processamento ou devolver uma continuação)</w:t>
            </w:r>
          </w:p>
        </w:tc>
      </w:tr>
      <w:tr w:rsidR="00D25E5E" w:rsidRPr="00B44CF9" w14:paraId="45643C09" w14:textId="77777777" w:rsidTr="008367CC">
        <w:trPr>
          <w:trHeight w:val="446"/>
        </w:trPr>
        <w:tc>
          <w:tcPr>
            <w:tcW w:w="5400" w:type="dxa"/>
          </w:tcPr>
          <w:p w14:paraId="44538433" w14:textId="77777777" w:rsidR="00D25E5E" w:rsidRPr="00B01FAB" w:rsidRDefault="00D25E5E" w:rsidP="008367CC">
            <w:pPr>
              <w:pStyle w:val="ProductList-OfferingBody"/>
              <w:rPr>
                <w:rFonts w:ascii="Calibri" w:hAnsi="Calibri" w:cs="Calibri"/>
                <w:szCs w:val="16"/>
              </w:rPr>
            </w:pPr>
            <w:r>
              <w:rPr>
                <w:rFonts w:ascii="Calibri" w:hAnsi="Calibri" w:cs="Calibri"/>
                <w:szCs w:val="16"/>
              </w:rPr>
              <w:t>Agrupar Operações de Tabela</w:t>
            </w:r>
          </w:p>
        </w:tc>
        <w:tc>
          <w:tcPr>
            <w:tcW w:w="5400" w:type="dxa"/>
          </w:tcPr>
          <w:p w14:paraId="53036C72"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Trinta (30) segundos</w:t>
            </w:r>
          </w:p>
        </w:tc>
      </w:tr>
      <w:tr w:rsidR="00D25E5E" w:rsidRPr="00B44CF9" w14:paraId="01DF386C" w14:textId="77777777" w:rsidTr="008367CC">
        <w:trPr>
          <w:trHeight w:val="446"/>
        </w:trPr>
        <w:tc>
          <w:tcPr>
            <w:tcW w:w="5400" w:type="dxa"/>
          </w:tcPr>
          <w:p w14:paraId="31601151" w14:textId="77777777" w:rsidR="00D25E5E" w:rsidRPr="00B01FAB" w:rsidRDefault="00D25E5E" w:rsidP="008367CC">
            <w:pPr>
              <w:pStyle w:val="ProductList-OfferingBody"/>
              <w:rPr>
                <w:rFonts w:ascii="Calibri" w:hAnsi="Calibri" w:cs="Calibri"/>
                <w:szCs w:val="16"/>
              </w:rPr>
            </w:pPr>
            <w:r>
              <w:rPr>
                <w:rFonts w:ascii="Calibri" w:hAnsi="Calibri" w:cs="Calibri"/>
                <w:szCs w:val="16"/>
              </w:rPr>
              <w:t xml:space="preserve">Todas as Operações de Tabela de Entidade Única </w:t>
            </w:r>
          </w:p>
          <w:p w14:paraId="4D85276B" w14:textId="77777777" w:rsidR="00D25E5E" w:rsidRPr="00B01FAB" w:rsidRDefault="00D25E5E" w:rsidP="008367CC">
            <w:pPr>
              <w:pStyle w:val="ProductList-OfferingBody"/>
              <w:rPr>
                <w:rFonts w:ascii="Calibri" w:hAnsi="Calibri" w:cs="Calibri"/>
                <w:szCs w:val="16"/>
              </w:rPr>
            </w:pPr>
            <w:r>
              <w:rPr>
                <w:rFonts w:ascii="Calibri" w:hAnsi="Calibri" w:cs="Calibri"/>
                <w:szCs w:val="16"/>
              </w:rPr>
              <w:t>Todas as outras Operações de Blob, Ficheiro e Mensagem</w:t>
            </w:r>
          </w:p>
        </w:tc>
        <w:tc>
          <w:tcPr>
            <w:tcW w:w="5400" w:type="dxa"/>
          </w:tcPr>
          <w:p w14:paraId="0846094B"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Dois (2) segundos</w:t>
            </w:r>
          </w:p>
        </w:tc>
      </w:tr>
    </w:tbl>
    <w:p w14:paraId="6B844739" w14:textId="77777777" w:rsidR="00D25E5E" w:rsidRPr="00C7204B" w:rsidRDefault="00D25E5E" w:rsidP="00D25E5E">
      <w:pPr>
        <w:pStyle w:val="ProductList-Body"/>
        <w:spacing w:before="120"/>
        <w:rPr>
          <w:rFonts w:ascii="Calibri" w:hAnsi="Calibri" w:cs="Calibri"/>
        </w:rPr>
      </w:pPr>
      <w:r>
        <w:rPr>
          <w:rFonts w:ascii="Calibri" w:hAnsi="Calibri" w:cs="Calibri"/>
        </w:rPr>
        <w:t>Estes algarismos representam os tempos máximos de processamento. Estima-se que os tempos reais e médios sejam muito mais baixos.</w:t>
      </w:r>
    </w:p>
    <w:p w14:paraId="4CAD3432" w14:textId="77777777" w:rsidR="00D25E5E" w:rsidRPr="00C7204B" w:rsidRDefault="00D25E5E" w:rsidP="00D25E5E">
      <w:pPr>
        <w:pStyle w:val="ProductList-Body"/>
        <w:rPr>
          <w:rFonts w:ascii="Calibri" w:hAnsi="Calibri" w:cs="Calibri"/>
          <w:szCs w:val="18"/>
        </w:rPr>
      </w:pPr>
    </w:p>
    <w:p w14:paraId="2BB82E84" w14:textId="77777777" w:rsidR="00D25E5E" w:rsidRPr="00C7204B" w:rsidRDefault="00D25E5E" w:rsidP="00D25E5E">
      <w:pPr>
        <w:pStyle w:val="ProductList-Body"/>
        <w:rPr>
          <w:rFonts w:ascii="Calibri" w:hAnsi="Calibri" w:cs="Calibri"/>
        </w:rPr>
      </w:pPr>
      <w:r>
        <w:rPr>
          <w:rFonts w:ascii="Calibri" w:hAnsi="Calibri" w:cs="Calibri"/>
        </w:rPr>
        <w:t>As Transações de Armazenamento com Falha não incluem:</w:t>
      </w:r>
    </w:p>
    <w:p w14:paraId="53DD5B50" w14:textId="77777777" w:rsidR="00D25E5E" w:rsidRPr="00C7204B" w:rsidRDefault="00D25E5E" w:rsidP="00D25E5E">
      <w:pPr>
        <w:pStyle w:val="ProductList-Body"/>
        <w:numPr>
          <w:ilvl w:val="0"/>
          <w:numId w:val="4"/>
        </w:numPr>
        <w:rPr>
          <w:rFonts w:ascii="Calibri" w:hAnsi="Calibri" w:cs="Calibri"/>
        </w:rPr>
      </w:pPr>
      <w:r>
        <w:rPr>
          <w:rFonts w:ascii="Calibri" w:hAnsi="Calibri" w:cs="Calibri"/>
        </w:rPr>
        <w:t xml:space="preserve">Pedidos de transação que são limitados pelo Serviço de Armazenamento devido a uma falha em respeitar os princípios de término adequados. </w:t>
      </w:r>
    </w:p>
    <w:p w14:paraId="6E04F256" w14:textId="77777777" w:rsidR="00D25E5E" w:rsidRPr="00C7204B" w:rsidRDefault="00D25E5E" w:rsidP="00D25E5E">
      <w:pPr>
        <w:pStyle w:val="ProductList-Body"/>
        <w:numPr>
          <w:ilvl w:val="0"/>
          <w:numId w:val="4"/>
        </w:numPr>
        <w:rPr>
          <w:rFonts w:ascii="Calibri" w:hAnsi="Calibri" w:cs="Calibri"/>
        </w:rPr>
      </w:pPr>
      <w:r>
        <w:rPr>
          <w:rFonts w:ascii="Calibri" w:hAnsi="Calibri" w:cs="Calibri"/>
        </w:rPr>
        <w:t xml:space="preserve">Pedidos de transação com tempos limite inferiores aos respetivos Tempos Máximos de Processamento especificados acima. </w:t>
      </w:r>
    </w:p>
    <w:p w14:paraId="4ED1CB1F" w14:textId="77777777" w:rsidR="00D25E5E" w:rsidRPr="00C7204B" w:rsidRDefault="00D25E5E" w:rsidP="00D25E5E">
      <w:pPr>
        <w:pStyle w:val="ProductList-Body"/>
        <w:numPr>
          <w:ilvl w:val="0"/>
          <w:numId w:val="4"/>
        </w:numPr>
        <w:rPr>
          <w:rFonts w:ascii="Calibri" w:hAnsi="Calibri" w:cs="Calibri"/>
        </w:rPr>
      </w:pPr>
      <w:r>
        <w:rPr>
          <w:rFonts w:ascii="Calibri" w:hAnsi="Calibri" w:cs="Calibri"/>
        </w:rPr>
        <w:t xml:space="preserve">Pedidos de transações de leitura para Contas RA-GRS e RA-GZRS para as quais o Cliente não tentou executar o pedido na Região Secundária associada à conta de armazenamento se o pedido para a Região Primária não tiver sido bem-sucedido. </w:t>
      </w:r>
    </w:p>
    <w:p w14:paraId="616A4418" w14:textId="77777777" w:rsidR="00D25E5E" w:rsidRPr="00C7204B" w:rsidRDefault="00D25E5E" w:rsidP="00D25E5E">
      <w:pPr>
        <w:pStyle w:val="ProductList-Body"/>
        <w:numPr>
          <w:ilvl w:val="0"/>
          <w:numId w:val="4"/>
        </w:numPr>
        <w:rPr>
          <w:rFonts w:ascii="Calibri" w:hAnsi="Calibri" w:cs="Calibri"/>
        </w:rPr>
      </w:pPr>
      <w:r>
        <w:rPr>
          <w:rFonts w:ascii="Calibri" w:hAnsi="Calibri" w:cs="Calibri"/>
        </w:rPr>
        <w:t>Pedidos de transações de leitura para Contas RA-GRS e RA-GZRS que falharam devido ao Intervalo de Georreplicação.</w:t>
      </w:r>
    </w:p>
    <w:p w14:paraId="44C332C5"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Intervalo de Georreplicação</w:t>
      </w:r>
      <w:r>
        <w:rPr>
          <w:rFonts w:ascii="Calibri" w:hAnsi="Calibri" w:cs="Calibri"/>
        </w:rPr>
        <w:t>” para Contas GRS, GZRS, RA-GRS e RA-GZRS designa o tempo que demora a replicação dos dados armazenados na Região Primária da conta de armazenamento para a Região Secundária da conta de armazenamento. Uma vez que as Contas GRS, GZRS, RA-GRS e RA-GZRS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 “</w:t>
      </w:r>
      <w:r>
        <w:rPr>
          <w:rFonts w:ascii="Calibri" w:hAnsi="Calibri" w:cs="Calibri"/>
          <w:b/>
          <w:color w:val="00188F"/>
        </w:rPr>
        <w:t>Conta de Armazenamento Geograficamente Redundante (GRS)</w:t>
      </w:r>
      <w:r>
        <w:rPr>
          <w:rFonts w:ascii="Calibri" w:hAnsi="Calibri" w:cs="Calibri"/>
        </w:rPr>
        <w:t>” designa uma conta de armazenamento para a qual os dados são replicados de forma síncrona numa Região Primária e, em seguida, replicados de forma assíncrona para uma Região Secundária. O Cliente não pode ler nem escrever dados diretamente na Região Secundária associada às Contas GRS.</w:t>
      </w:r>
    </w:p>
    <w:p w14:paraId="0F7F988B"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Conta de Armazenamento Localmente Redundante (LRS)</w:t>
      </w:r>
      <w:r>
        <w:rPr>
          <w:rFonts w:ascii="Calibri" w:hAnsi="Calibri" w:cs="Calibri"/>
        </w:rPr>
        <w:t>” designa uma conta de armazenamento para a qual os dados são replicados de forma síncrona apenas numa Região Primária.</w:t>
      </w:r>
    </w:p>
    <w:p w14:paraId="2D0BD255"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Região Primária</w:t>
      </w:r>
      <w:r>
        <w:rPr>
          <w:rFonts w:ascii="Calibri" w:hAnsi="Calibri" w:cs="Calibri"/>
        </w:rPr>
        <w:t>” designa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3990C572" w14:textId="77777777" w:rsidR="00D25E5E" w:rsidRPr="00C7204B" w:rsidRDefault="00D25E5E" w:rsidP="00D25E5E">
      <w:pPr>
        <w:pStyle w:val="ProductList-Body"/>
        <w:rPr>
          <w:rFonts w:ascii="Calibri" w:hAnsi="Calibri" w:cs="Calibri"/>
        </w:rPr>
      </w:pPr>
      <w:r>
        <w:rPr>
          <w:rFonts w:ascii="Calibri" w:hAnsi="Calibri" w:cs="Calibri"/>
        </w:rPr>
        <w:lastRenderedPageBreak/>
        <w:t>“</w:t>
      </w:r>
      <w:r>
        <w:rPr>
          <w:rFonts w:ascii="Calibri" w:hAnsi="Calibri" w:cs="Calibri"/>
          <w:b/>
          <w:color w:val="00188F"/>
        </w:rPr>
        <w:t>Conta de Acesso de Leitura e Armazenamento Geograficamente Redundante (RA-GRS)</w:t>
      </w:r>
      <w:r>
        <w:rPr>
          <w:rFonts w:ascii="Calibri" w:hAnsi="Calibri" w:cs="Calibri"/>
        </w:rPr>
        <w:t>” designa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01F37398"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Região Secundária</w:t>
      </w:r>
      <w:r>
        <w:rPr>
          <w:rFonts w:ascii="Calibri" w:hAnsi="Calibri" w:cs="Calibri"/>
        </w:rPr>
        <w:t>” designa uma região geográfica onde os dados numa Conta GRS ou RA-GRS são replicados e armazenados, tal como atribuído pelo Microsoft Azure com base na Região Primária associada à conta de armazenamento. O Cliente não pode especificar a Região Secundária associada às contas de armazenamento.</w:t>
      </w:r>
    </w:p>
    <w:p w14:paraId="73A64523"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Total de Transações de Armazenamento</w:t>
      </w:r>
      <w:r>
        <w:rPr>
          <w:rFonts w:ascii="Calibri" w:hAnsi="Calibri" w:cs="Calibri"/>
        </w:rPr>
        <w:t>” designa o conjunto de todas as transações de armazenamento, que não as Transações Excluídas, tentadas num intervalo de uma hora em todas as contas de armazenamento no Serviço de Armazenamento numa determinada subscrição.</w:t>
      </w:r>
    </w:p>
    <w:p w14:paraId="4CB75564"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Camada de Acesso Otimizado para Transações</w:t>
      </w:r>
      <w:r>
        <w:rPr>
          <w:rFonts w:ascii="Calibri" w:hAnsi="Calibri" w:cs="Calibri"/>
        </w:rPr>
        <w:t>” designa um atributo de uma partilha de ficheiros do Azure que indica que é frequentemente acedida.</w:t>
      </w:r>
    </w:p>
    <w:p w14:paraId="3053A9AE"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Conta de Armazenamento Redundante por Zona (ZRS)</w:t>
      </w:r>
      <w:r>
        <w:rPr>
          <w:rFonts w:ascii="Calibri" w:hAnsi="Calibri" w:cs="Calibri"/>
        </w:rPr>
        <w:t>” designa uma conta de armazenamento para a qual os dados são replicados em múltiplas instalações. Estas instalações podem estar na mesma região geográfica ou em duas regiões geográficas.</w:t>
      </w:r>
    </w:p>
    <w:p w14:paraId="14A15593"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Conta de Armazenamento Redundante por Zona Geográfica (GZRS)</w:t>
      </w:r>
      <w:r>
        <w:rPr>
          <w:rFonts w:ascii="Calibri" w:hAnsi="Calibri" w:cs="Calibri"/>
        </w:rPr>
        <w:t>” designa uma conta de armazenamento para a qual os dados são replicados em múltiplas instalações. Estas instalações podem estar na mesma região geográfica ou em duas regiões geográficas. Os dados também são replicados de forma síncrona numa Região Primária e, em seguida, replicados de forma assíncrona para uma Região Secundária. O Cliente não pode ler nem escrever dados diretamente na Região Secundária associada às Contas GZRS.</w:t>
      </w:r>
    </w:p>
    <w:p w14:paraId="0C5CA852"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Conta de Armazenamento Redundante por Zona Geográfica de Acesso de Leitura (RA-GZRS)</w:t>
      </w:r>
      <w:r>
        <w:rPr>
          <w:rFonts w:ascii="Calibri" w:hAnsi="Calibri" w:cs="Calibri"/>
        </w:rPr>
        <w:t>” designa uma conta de armazenamento para a qual os dados são replicados em múltiplas instalações. Estas instalações podem estar na mesma região geográfica ou em duas regiões geográficas. Os dados também são replicados de forma síncrona numa Região Primária e, em seguida, replicados de forma assíncrona para uma Região Secundária. O Cliente pode ler diretamente dados mas não pode escrever dados na Região Secundária associada às Contas RA-GZRS.</w:t>
      </w:r>
    </w:p>
    <w:p w14:paraId="59B202F1" w14:textId="77777777" w:rsidR="00D25E5E" w:rsidRPr="00C7204B" w:rsidRDefault="00D25E5E" w:rsidP="00D25E5E">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a Percentagem de Período de Disponibilidade é calculada através da seguinte fórmula:</w:t>
      </w:r>
    </w:p>
    <w:p w14:paraId="1D27B763" w14:textId="77777777" w:rsidR="00D25E5E" w:rsidRPr="007B45AF" w:rsidRDefault="00D25E5E" w:rsidP="00D25E5E">
      <w:pPr>
        <w:pStyle w:val="ProductList-Body"/>
        <w:rPr>
          <w:szCs w:val="18"/>
        </w:rPr>
      </w:pPr>
    </w:p>
    <w:p w14:paraId="17B310A8" w14:textId="77777777" w:rsidR="00D25E5E" w:rsidRPr="00EF7CF9" w:rsidRDefault="00D25E5E" w:rsidP="00D25E5E">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Taxa Média de Erros</m:t>
          </m:r>
        </m:oMath>
      </m:oMathPara>
    </w:p>
    <w:p w14:paraId="4B92BFA4" w14:textId="77777777" w:rsidR="00D25E5E" w:rsidRPr="00FB0D2C" w:rsidRDefault="00D25E5E" w:rsidP="00D25E5E">
      <w:pPr>
        <w:pStyle w:val="ProductList-ClauseHeading"/>
        <w:rPr>
          <w:rFonts w:ascii="Calibri" w:hAnsi="Calibri" w:cs="Calibri"/>
        </w:rPr>
      </w:pPr>
      <w:r>
        <w:rPr>
          <w:rFonts w:ascii="Calibri" w:hAnsi="Calibri" w:cs="Calibri"/>
        </w:rPr>
        <w:t>Camadas de Acesso Otimizado para Transações e Frequente</w:t>
      </w:r>
    </w:p>
    <w:p w14:paraId="57CEE2C6" w14:textId="77777777" w:rsidR="00D25E5E" w:rsidRPr="00FB0D2C" w:rsidRDefault="00D25E5E" w:rsidP="00D25E5E">
      <w:pPr>
        <w:pStyle w:val="ProductList-ClauseHeading"/>
        <w:rPr>
          <w:rFonts w:ascii="Calibri" w:hAnsi="Calibri" w:cs="Calibri"/>
        </w:rPr>
      </w:pPr>
      <w:r>
        <w:rPr>
          <w:rFonts w:ascii="Calibri" w:hAnsi="Calibri" w:cs="Calibri"/>
        </w:rPr>
        <w:t>Crédito de Serviço: LRS, ZRS, GRS, GZRS, RA-GRS e RA-GZRS (pedidos de escrita) para Camadas de Acesso Otimizado para Transações e Frequente</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1444A75F" w14:textId="77777777" w:rsidTr="008367CC">
        <w:trPr>
          <w:trHeight w:val="245"/>
          <w:tblHeader/>
        </w:trPr>
        <w:tc>
          <w:tcPr>
            <w:tcW w:w="5400" w:type="dxa"/>
            <w:tcBorders>
              <w:bottom w:val="single" w:sz="4" w:space="0" w:color="auto"/>
            </w:tcBorders>
            <w:shd w:val="clear" w:color="auto" w:fill="0072C6"/>
          </w:tcPr>
          <w:p w14:paraId="36DEAADC"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tcBorders>
              <w:bottom w:val="single" w:sz="4" w:space="0" w:color="auto"/>
            </w:tcBorders>
            <w:shd w:val="clear" w:color="auto" w:fill="0072C6"/>
          </w:tcPr>
          <w:p w14:paraId="174D871A"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1ECF388A"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28D5A075"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26798425"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430D5166"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0EB8C959"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62110C2F"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70F8863A" w14:textId="77777777" w:rsidR="00D25E5E" w:rsidRPr="00FB0D2C" w:rsidRDefault="00D25E5E" w:rsidP="00D25E5E">
      <w:pPr>
        <w:pStyle w:val="ProductList-ClauseHeading"/>
        <w:spacing w:before="120"/>
        <w:rPr>
          <w:rFonts w:ascii="Calibri" w:hAnsi="Calibri" w:cs="Calibri"/>
        </w:rPr>
      </w:pPr>
      <w:r>
        <w:rPr>
          <w:rFonts w:ascii="Calibri" w:hAnsi="Calibri" w:cs="Calibri"/>
        </w:rPr>
        <w:t xml:space="preserve">Crédito de Serviço: RA-GRS and RA-GZRS (pedidos de leitura) para Camadas de Acesso Otimizado para Transações e Frequente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67C068C9" w14:textId="77777777" w:rsidTr="008367CC">
        <w:trPr>
          <w:trHeight w:val="245"/>
          <w:tblHeader/>
        </w:trPr>
        <w:tc>
          <w:tcPr>
            <w:tcW w:w="5400" w:type="dxa"/>
            <w:shd w:val="clear" w:color="auto" w:fill="0072C6"/>
          </w:tcPr>
          <w:p w14:paraId="0942468D"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4E993CDA"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6828290D" w14:textId="77777777" w:rsidTr="008367CC">
        <w:trPr>
          <w:trHeight w:val="245"/>
        </w:trPr>
        <w:tc>
          <w:tcPr>
            <w:tcW w:w="5400" w:type="dxa"/>
          </w:tcPr>
          <w:p w14:paraId="5B80CEF2"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778FF147"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2C179CFB" w14:textId="77777777" w:rsidTr="008367CC">
        <w:trPr>
          <w:trHeight w:val="245"/>
        </w:trPr>
        <w:tc>
          <w:tcPr>
            <w:tcW w:w="5400" w:type="dxa"/>
          </w:tcPr>
          <w:p w14:paraId="67BBC617"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29AB4F8D"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20EE0AF9" w14:textId="77777777" w:rsidR="00D25E5E" w:rsidRPr="00FB0D2C" w:rsidRDefault="00D25E5E" w:rsidP="00D25E5E">
      <w:pPr>
        <w:pStyle w:val="ProductList-ClauseHeading"/>
        <w:spacing w:before="120"/>
        <w:rPr>
          <w:rFonts w:ascii="Calibri" w:hAnsi="Calibri" w:cs="Calibri"/>
        </w:rPr>
      </w:pPr>
      <w:r>
        <w:rPr>
          <w:rFonts w:ascii="Calibri" w:hAnsi="Calibri" w:cs="Calibri"/>
        </w:rPr>
        <w:t>Crédito de Serviço: LRS, ZRS, GRS e GZRS (pedidos de escrita) para Camadas de Acesso Otimizado para Transações e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097209A2" w14:textId="77777777" w:rsidTr="008367CC">
        <w:trPr>
          <w:trHeight w:val="245"/>
          <w:tblHeader/>
        </w:trPr>
        <w:tc>
          <w:tcPr>
            <w:tcW w:w="5400" w:type="dxa"/>
            <w:tcBorders>
              <w:bottom w:val="single" w:sz="4" w:space="0" w:color="auto"/>
            </w:tcBorders>
            <w:shd w:val="clear" w:color="auto" w:fill="0072C6"/>
          </w:tcPr>
          <w:p w14:paraId="6727B85D"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tcBorders>
              <w:bottom w:val="single" w:sz="4" w:space="0" w:color="auto"/>
            </w:tcBorders>
            <w:shd w:val="clear" w:color="auto" w:fill="0072C6"/>
          </w:tcPr>
          <w:p w14:paraId="79D8B3AE"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72E8CC4A"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76E84338"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4767C476"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1B5C3D0E"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67F22286"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4F236165"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3C9F0200" w14:textId="77777777" w:rsidR="00D25E5E" w:rsidRPr="00FB0D2C" w:rsidRDefault="00D25E5E" w:rsidP="00D25E5E">
      <w:pPr>
        <w:pStyle w:val="ProductList-ClauseHeading"/>
        <w:spacing w:before="120"/>
        <w:rPr>
          <w:rFonts w:ascii="Calibri" w:hAnsi="Calibri" w:cs="Calibri"/>
          <w:szCs w:val="18"/>
        </w:rPr>
      </w:pPr>
      <w:r>
        <w:rPr>
          <w:rFonts w:ascii="Calibri" w:hAnsi="Calibri" w:cs="Calibri"/>
          <w:szCs w:val="18"/>
        </w:rPr>
        <w:t>Camadas Esporádico, Infrequente e Arquivo</w:t>
      </w:r>
    </w:p>
    <w:p w14:paraId="3B1C9184" w14:textId="77777777" w:rsidR="00D25E5E" w:rsidRPr="00FB0D2C" w:rsidRDefault="00D25E5E" w:rsidP="00D25E5E">
      <w:pPr>
        <w:pStyle w:val="ProductList-ClauseHeading"/>
        <w:rPr>
          <w:rFonts w:ascii="Calibri" w:hAnsi="Calibri" w:cs="Calibri"/>
          <w:szCs w:val="18"/>
        </w:rPr>
      </w:pPr>
      <w:r>
        <w:rPr>
          <w:rFonts w:ascii="Calibri" w:hAnsi="Calibri" w:cs="Calibri"/>
          <w:szCs w:val="18"/>
        </w:rPr>
        <w:t>Crédito de Serviço: LRS, ZRS, GRS, GZRS, RA-GRS e RA-GZRS (pedidos de escrita) para Camadas de Acesso Esporádico, Infrequente e Arquivo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25E5E" w:rsidRPr="00B44CF9" w14:paraId="59336083" w14:textId="77777777" w:rsidTr="008367CC">
        <w:trPr>
          <w:trHeight w:val="245"/>
          <w:tblHeader/>
        </w:trPr>
        <w:tc>
          <w:tcPr>
            <w:tcW w:w="2500" w:type="pct"/>
            <w:tcBorders>
              <w:bottom w:val="single" w:sz="4" w:space="0" w:color="auto"/>
            </w:tcBorders>
            <w:shd w:val="clear" w:color="auto" w:fill="0072C6"/>
          </w:tcPr>
          <w:p w14:paraId="520754C9"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2500" w:type="pct"/>
            <w:tcBorders>
              <w:bottom w:val="single" w:sz="4" w:space="0" w:color="auto"/>
            </w:tcBorders>
            <w:shd w:val="clear" w:color="auto" w:fill="0072C6"/>
          </w:tcPr>
          <w:p w14:paraId="7E4C8912"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53324D58"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230A6DDD"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62257CD1"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0E1FACD4"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4BCE06A1"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39E12A47"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7035FBFB" w14:textId="77777777" w:rsidR="00D25E5E" w:rsidRPr="00FB0D2C" w:rsidRDefault="00D25E5E" w:rsidP="00D25E5E">
      <w:pPr>
        <w:pStyle w:val="ProductList-ClauseHeading"/>
        <w:spacing w:before="120"/>
        <w:rPr>
          <w:rFonts w:ascii="Calibri" w:hAnsi="Calibri" w:cs="Calibri"/>
          <w:szCs w:val="18"/>
        </w:rPr>
      </w:pPr>
      <w:r>
        <w:rPr>
          <w:rFonts w:ascii="Calibri" w:hAnsi="Calibri" w:cs="Calibri"/>
          <w:szCs w:val="18"/>
        </w:rPr>
        <w:t>Crédito de Serviço: RA-GRS e RA-GZRS (pedidos de leitura) para Camadas de Acesso Esporádico, Infrequente e Arquivo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25E5E" w:rsidRPr="00B44CF9" w14:paraId="63EC8614" w14:textId="77777777" w:rsidTr="008367CC">
        <w:trPr>
          <w:trHeight w:val="245"/>
          <w:tblHeader/>
        </w:trPr>
        <w:tc>
          <w:tcPr>
            <w:tcW w:w="2500" w:type="pct"/>
            <w:shd w:val="clear" w:color="auto" w:fill="0072C6"/>
          </w:tcPr>
          <w:p w14:paraId="6210CA83"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2500" w:type="pct"/>
            <w:shd w:val="clear" w:color="auto" w:fill="0072C6"/>
          </w:tcPr>
          <w:p w14:paraId="3935E705"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069106BD" w14:textId="77777777" w:rsidTr="008367CC">
        <w:trPr>
          <w:trHeight w:val="245"/>
        </w:trPr>
        <w:tc>
          <w:tcPr>
            <w:tcW w:w="2500" w:type="pct"/>
          </w:tcPr>
          <w:p w14:paraId="03E09040"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590A98B4"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0786BF97" w14:textId="77777777" w:rsidTr="008367CC">
        <w:trPr>
          <w:trHeight w:val="245"/>
        </w:trPr>
        <w:tc>
          <w:tcPr>
            <w:tcW w:w="2500" w:type="pct"/>
          </w:tcPr>
          <w:p w14:paraId="04BC2FDE"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42851BC2"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5770BCBA" w14:textId="77777777" w:rsidR="00D25E5E" w:rsidRPr="00FB0D2C" w:rsidRDefault="00D25E5E" w:rsidP="00D25E5E">
      <w:pPr>
        <w:pStyle w:val="ProductList-ClauseHeading"/>
        <w:spacing w:before="120"/>
        <w:rPr>
          <w:rFonts w:ascii="Calibri" w:hAnsi="Calibri" w:cs="Calibri"/>
          <w:szCs w:val="18"/>
        </w:rPr>
      </w:pPr>
      <w:r>
        <w:rPr>
          <w:rFonts w:ascii="Calibri" w:hAnsi="Calibri" w:cs="Calibri"/>
          <w:szCs w:val="18"/>
        </w:rPr>
        <w:t>Crédito de Serviço: LRS, ZRS, GRS, GZRS (pedidos de leitura) para Camadas de Acesso Esporádico, Infrequente e Arquivo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1F20C6DD" w14:textId="77777777" w:rsidTr="008367CC">
        <w:trPr>
          <w:trHeight w:val="245"/>
          <w:tblHeader/>
        </w:trPr>
        <w:tc>
          <w:tcPr>
            <w:tcW w:w="5400" w:type="dxa"/>
            <w:shd w:val="clear" w:color="auto" w:fill="0072C6"/>
          </w:tcPr>
          <w:p w14:paraId="1B05003E"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29E707BE"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63C90AAA" w14:textId="77777777" w:rsidTr="008367CC">
        <w:trPr>
          <w:trHeight w:val="245"/>
        </w:trPr>
        <w:tc>
          <w:tcPr>
            <w:tcW w:w="5400" w:type="dxa"/>
          </w:tcPr>
          <w:p w14:paraId="4779C0A9"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24E0EBF6"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303AD369" w14:textId="77777777" w:rsidTr="008367CC">
        <w:trPr>
          <w:trHeight w:val="245"/>
        </w:trPr>
        <w:tc>
          <w:tcPr>
            <w:tcW w:w="5400" w:type="dxa"/>
          </w:tcPr>
          <w:p w14:paraId="32AB14D8"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684B6A53"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5BCD3424" w14:textId="77777777" w:rsidR="00D25E5E" w:rsidRPr="00FB0D2C" w:rsidRDefault="00D25E5E" w:rsidP="00D25E5E">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lastRenderedPageBreak/>
        <w:t>Exceções de Serviço</w:t>
      </w:r>
      <w:r>
        <w:rPr>
          <w:rFonts w:ascii="Calibri" w:hAnsi="Calibri" w:cs="Calibri"/>
          <w:b/>
          <w:bCs/>
          <w:color w:val="000000" w:themeColor="text1"/>
        </w:rPr>
        <w:t>:</w:t>
      </w:r>
      <w:r>
        <w:rPr>
          <w:rFonts w:ascii="Calibri" w:hAnsi="Calibri" w:cs="Calibri"/>
          <w:color w:val="000000" w:themeColor="text1"/>
        </w:rPr>
        <w:t xml:space="preserve"> O SLA de Esporádico, Infrequente e Arquivo são aplicáveis apenas aos tipos de conta de armazenamento que suportam a camada Esporádico, Infrequente e Arquivo.</w:t>
      </w:r>
    </w:p>
    <w:p w14:paraId="0C4064D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49F2F550" w14:textId="77777777" w:rsidR="000F2B16" w:rsidRPr="00EF7CF9" w:rsidRDefault="000F2B16" w:rsidP="00F01ED6">
      <w:pPr>
        <w:pStyle w:val="ProductList-Offering2Heading"/>
        <w:tabs>
          <w:tab w:val="clear" w:pos="360"/>
          <w:tab w:val="clear" w:pos="720"/>
          <w:tab w:val="clear" w:pos="1080"/>
        </w:tabs>
        <w:outlineLvl w:val="2"/>
      </w:pPr>
      <w:bookmarkStart w:id="395" w:name="_Toc214456875"/>
      <w:r>
        <w:t>StorSimple</w:t>
      </w:r>
      <w:bookmarkEnd w:id="393"/>
      <w:bookmarkEnd w:id="394"/>
      <w:bookmarkEnd w:id="395"/>
    </w:p>
    <w:p w14:paraId="08B9E4A5" w14:textId="77777777" w:rsidR="000F2B16" w:rsidRPr="00EF7CF9" w:rsidRDefault="000F2B16" w:rsidP="00F01ED6">
      <w:pPr>
        <w:pStyle w:val="ProductList-Body"/>
      </w:pPr>
      <w:r>
        <w:rPr>
          <w:b/>
          <w:color w:val="00188F"/>
        </w:rPr>
        <w:t>Definições Adicionais</w:t>
      </w:r>
      <w:r w:rsidRPr="00473DD3">
        <w:rPr>
          <w:b/>
          <w:color w:val="00188F"/>
        </w:rPr>
        <w:t>:</w:t>
      </w:r>
    </w:p>
    <w:p w14:paraId="5E85349A" w14:textId="36B3774A" w:rsidR="000F2B16" w:rsidRPr="00EF7CF9" w:rsidRDefault="00380305" w:rsidP="00A42102">
      <w:pPr>
        <w:pStyle w:val="ProductList-Body"/>
      </w:pPr>
      <w:r>
        <w:t>“</w:t>
      </w:r>
      <w:r w:rsidR="000F2B16">
        <w:rPr>
          <w:b/>
          <w:color w:val="00188F"/>
        </w:rPr>
        <w:t>Cópia de Segurança</w:t>
      </w:r>
      <w:r>
        <w:t>”</w:t>
      </w:r>
      <w:r w:rsidR="000F2B16">
        <w:t xml:space="preserve"> é o processo de criar cópias de segurança de dados armazenados num dispositivo StorSimple registado para uma ou mais contas de armazenamento em nuvem associadas no Microsoft Azure.</w:t>
      </w:r>
    </w:p>
    <w:p w14:paraId="373FEDA9" w14:textId="684D96E5" w:rsidR="000F2B16" w:rsidRPr="00EF7CF9" w:rsidRDefault="00380305" w:rsidP="00A42102">
      <w:pPr>
        <w:pStyle w:val="ProductList-Body"/>
      </w:pPr>
      <w:r>
        <w:t>“</w:t>
      </w:r>
      <w:r w:rsidR="000F2B16">
        <w:rPr>
          <w:b/>
          <w:color w:val="00188F"/>
        </w:rPr>
        <w:t>Criação de Camadas na Nuvem</w:t>
      </w:r>
      <w:r>
        <w:t>”</w:t>
      </w:r>
      <w:r w:rsidR="000F2B16">
        <w:t xml:space="preserve"> é o processo de transferir dados de um dispositivo StorSimple registado para uma ou mais contas de armazenamento em nuvem associadas no Microsoft Azure.</w:t>
      </w:r>
    </w:p>
    <w:p w14:paraId="2A8D2D95" w14:textId="6DEB2C6C" w:rsidR="000F2B16" w:rsidRPr="00EF7CF9" w:rsidRDefault="00380305" w:rsidP="00A42102">
      <w:pPr>
        <w:pStyle w:val="ProductList-Body"/>
      </w:pPr>
      <w:r>
        <w:t>“</w:t>
      </w:r>
      <w:r w:rsidR="000F2B16">
        <w:rPr>
          <w:b/>
          <w:color w:val="00188F"/>
        </w:rPr>
        <w:t>Falha</w:t>
      </w:r>
      <w:r>
        <w:t>”</w:t>
      </w:r>
      <w:r w:rsidR="000F2B16">
        <w:t xml:space="preserve"> designa a incapacidade de concluir na íntegra uma operação corretamente configurada de Cópia de Segurança, Criação de Camadas ou Restauro devido à indisponibilidade do Serviço StorSimple.</w:t>
      </w:r>
    </w:p>
    <w:p w14:paraId="051A8805" w14:textId="5FC63DF5" w:rsidR="000F2B16" w:rsidRPr="00EF7CF9" w:rsidRDefault="00380305" w:rsidP="00A42102">
      <w:pPr>
        <w:pStyle w:val="ProductList-Body"/>
      </w:pPr>
      <w:r>
        <w:t>“</w:t>
      </w:r>
      <w:r w:rsidR="000F2B16">
        <w:rPr>
          <w:b/>
          <w:color w:val="00188F"/>
        </w:rPr>
        <w:t>Item Gerido</w:t>
      </w:r>
      <w:r>
        <w:t>”</w:t>
      </w:r>
      <w:r w:rsidR="000F2B16">
        <w:t xml:space="preserve"> designa um volume que foi configurado para criar cópias de segurança para as contas de armazenamento em nuvem utilizando o</w:t>
      </w:r>
      <w:r w:rsidR="008F290E">
        <w:t> </w:t>
      </w:r>
      <w:r w:rsidR="000F2B16">
        <w:t>Serviço StorSimple.</w:t>
      </w:r>
    </w:p>
    <w:p w14:paraId="65E0E7F4" w14:textId="1DE2AC44" w:rsidR="000F2B16" w:rsidRPr="00EF7CF9" w:rsidRDefault="00380305" w:rsidP="00A42102">
      <w:pPr>
        <w:pStyle w:val="ProductList-Body"/>
      </w:pPr>
      <w:r>
        <w:t>“</w:t>
      </w:r>
      <w:r w:rsidR="000F2B16">
        <w:rPr>
          <w:b/>
          <w:color w:val="00188F"/>
        </w:rPr>
        <w:t>Restauro</w:t>
      </w:r>
      <w:r>
        <w:t>”</w:t>
      </w:r>
      <w:r w:rsidR="000F2B16">
        <w:t xml:space="preserve"> é o processo de cópia de dados para um dispositivo StorSimple registado a partir das respetivas contas de armazenamento em nuvem associadas.</w:t>
      </w:r>
    </w:p>
    <w:p w14:paraId="002F6811" w14:textId="329FC890" w:rsidR="000F2B16" w:rsidRPr="00377C64" w:rsidRDefault="00EE6E3C" w:rsidP="00A42102">
      <w:pPr>
        <w:pStyle w:val="ProductList-Body"/>
        <w:rPr>
          <w:b/>
          <w:bCs/>
          <w:color w:val="00188F"/>
        </w:rPr>
      </w:pPr>
      <w:r>
        <w:rPr>
          <w:b/>
          <w:bCs/>
          <w:color w:val="00188F"/>
        </w:rPr>
        <w:t>Cálculo do Período de Disponibilidade e Níveis de Serviço para o Serviço StorSimple</w:t>
      </w:r>
    </w:p>
    <w:p w14:paraId="35B80149" w14:textId="635A0868" w:rsidR="000F2B16" w:rsidRPr="00EF7CF9" w:rsidRDefault="00380305" w:rsidP="00A42102">
      <w:pPr>
        <w:pStyle w:val="ProductList-Body"/>
      </w:pPr>
      <w:r>
        <w:t>“</w:t>
      </w:r>
      <w:r w:rsidR="000F2B16">
        <w:rPr>
          <w:b/>
          <w:color w:val="00188F"/>
        </w:rPr>
        <w:t>Minutos de Implementação</w:t>
      </w:r>
      <w:r>
        <w:t>”</w:t>
      </w:r>
      <w:r w:rsidR="000F2B16">
        <w:t xml:space="preserve"> designa o número total de minutos no qual um Item Gerido foi configurado pelo Cliente para Cópia de Segurança ou</w:t>
      </w:r>
      <w:r w:rsidR="00974563">
        <w:t> </w:t>
      </w:r>
      <w:r w:rsidR="000F2B16">
        <w:t>Criação de Camadas na Nuvem para uma conta de armazenamento StorSimple no Microsoft Azure.</w:t>
      </w:r>
    </w:p>
    <w:p w14:paraId="6F160E55" w14:textId="52211A28" w:rsidR="000F2B16" w:rsidRPr="00EF7CF9" w:rsidRDefault="00380305" w:rsidP="00A42102">
      <w:pPr>
        <w:pStyle w:val="ProductList-Body"/>
      </w:pPr>
      <w:r>
        <w:t>“</w:t>
      </w:r>
      <w:r w:rsidR="000F2B16">
        <w:rPr>
          <w:b/>
          <w:color w:val="00188F"/>
        </w:rPr>
        <w:t>Máximo de Minutos Disponíveis</w:t>
      </w:r>
      <w:r>
        <w:t>”</w:t>
      </w:r>
      <w:r w:rsidR="000F2B16">
        <w:t xml:space="preserve"> designa a soma de todos os Minutos de Implementação em todos os Itens Geridos numa determinada subscrição do Microsoft Azure durante um Período Aplicável.</w:t>
      </w:r>
    </w:p>
    <w:p w14:paraId="3C30BFAD" w14:textId="77777777" w:rsidR="000F2B16" w:rsidRPr="00EF7CF9" w:rsidRDefault="000F2B16" w:rsidP="00A42102">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35361FCC" w14:textId="67AE494A" w:rsidR="000F2B1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8239E7E" w14:textId="33A0CC62" w:rsidR="000F2B16" w:rsidRPr="00EF7CF9" w:rsidRDefault="00000000" w:rsidP="00A4210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984315A" w14:textId="77777777" w:rsidR="000F2B16" w:rsidRPr="00EF7CF9" w:rsidRDefault="000F2B16" w:rsidP="00F01ED6">
      <w:pPr>
        <w:pStyle w:val="ProductList-Body"/>
      </w:pPr>
      <w:r>
        <w:rPr>
          <w:b/>
          <w:color w:val="00188F"/>
        </w:rPr>
        <w:t>Os seguintes Níveis de Serviço e Créditos de Serviço são aplicáveis à utilização que o Cliente faz do Serviço StorSimple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49B73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277097">
        <w:tc>
          <w:tcPr>
            <w:tcW w:w="5400" w:type="dxa"/>
          </w:tcPr>
          <w:p w14:paraId="48CD763C" w14:textId="77777777" w:rsidR="000F2B16" w:rsidRPr="00EF7CF9" w:rsidRDefault="000F2B16" w:rsidP="00F01ED6">
            <w:pPr>
              <w:pStyle w:val="ProductList-OfferingBody"/>
              <w:jc w:val="center"/>
            </w:pPr>
            <w:r>
              <w:t>&lt; 99,9%</w:t>
            </w:r>
          </w:p>
        </w:tc>
        <w:tc>
          <w:tcPr>
            <w:tcW w:w="5400" w:type="dxa"/>
          </w:tcPr>
          <w:p w14:paraId="0D3DAB99" w14:textId="77777777" w:rsidR="000F2B16" w:rsidRPr="00EF7CF9" w:rsidRDefault="000F2B16" w:rsidP="00F01ED6">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F01ED6">
            <w:pPr>
              <w:pStyle w:val="ProductList-OfferingBody"/>
              <w:jc w:val="center"/>
            </w:pPr>
            <w:r>
              <w:t>&lt; 99%</w:t>
            </w:r>
          </w:p>
        </w:tc>
        <w:tc>
          <w:tcPr>
            <w:tcW w:w="5400" w:type="dxa"/>
          </w:tcPr>
          <w:p w14:paraId="6DB0249C" w14:textId="77777777" w:rsidR="000F2B16" w:rsidRPr="00EF7CF9" w:rsidRDefault="000F2B16" w:rsidP="00F01ED6">
            <w:pPr>
              <w:pStyle w:val="ProductList-OfferingBody"/>
              <w:jc w:val="center"/>
            </w:pPr>
            <w:r>
              <w:t>25%</w:t>
            </w:r>
          </w:p>
        </w:tc>
      </w:tr>
    </w:tbl>
    <w:p w14:paraId="6323CB84" w14:textId="0FD76210" w:rsidR="000F2B16" w:rsidRPr="00CB7596" w:rsidRDefault="00EE6E3C" w:rsidP="00F01ED6">
      <w:pPr>
        <w:pStyle w:val="ProductList-Body"/>
        <w:tabs>
          <w:tab w:val="clear" w:pos="360"/>
          <w:tab w:val="clear" w:pos="720"/>
          <w:tab w:val="clear" w:pos="1080"/>
        </w:tabs>
        <w:spacing w:before="240"/>
        <w:rPr>
          <w:b/>
          <w:bCs/>
          <w:color w:val="00188F"/>
          <w:szCs w:val="18"/>
        </w:rPr>
      </w:pPr>
      <w:r w:rsidRPr="00CB7596">
        <w:rPr>
          <w:b/>
          <w:bCs/>
          <w:color w:val="00188F"/>
          <w:szCs w:val="18"/>
        </w:rPr>
        <w:t>Cálculo do Período de Disponibilidade e Níveis de Serviço para o Gestor de Dados StorSimple</w:t>
      </w:r>
    </w:p>
    <w:p w14:paraId="6F438056" w14:textId="5FDA10A1" w:rsidR="000F2B16" w:rsidRPr="00CB7596" w:rsidRDefault="000F2B16" w:rsidP="00A42102">
      <w:pPr>
        <w:spacing w:after="0" w:line="240" w:lineRule="auto"/>
        <w:rPr>
          <w:rFonts w:eastAsia="Times New Roman" w:cstheme="minorHAnsi"/>
          <w:sz w:val="18"/>
          <w:szCs w:val="18"/>
        </w:rPr>
      </w:pPr>
      <w:r w:rsidRPr="00CB7596">
        <w:rPr>
          <w:sz w:val="18"/>
          <w:szCs w:val="18"/>
        </w:rPr>
        <w:t xml:space="preserve">O </w:t>
      </w:r>
      <w:r w:rsidR="00380305" w:rsidRPr="00CB7596">
        <w:rPr>
          <w:rFonts w:eastAsia="Times New Roman" w:cstheme="minorHAnsi"/>
          <w:bCs/>
          <w:sz w:val="18"/>
          <w:szCs w:val="18"/>
        </w:rPr>
        <w:t>“</w:t>
      </w:r>
      <w:r w:rsidRPr="00CB7596">
        <w:rPr>
          <w:rFonts w:eastAsia="Times New Roman" w:cstheme="minorHAnsi"/>
          <w:b/>
          <w:bCs/>
          <w:color w:val="00188F"/>
          <w:sz w:val="18"/>
          <w:szCs w:val="18"/>
        </w:rPr>
        <w:t>Total de Pedidos</w:t>
      </w:r>
      <w:r w:rsidR="00380305" w:rsidRPr="00CB7596">
        <w:rPr>
          <w:rFonts w:eastAsia="Times New Roman" w:cstheme="minorHAnsi"/>
          <w:sz w:val="18"/>
          <w:szCs w:val="18"/>
        </w:rPr>
        <w:t>”</w:t>
      </w:r>
      <w:r w:rsidRPr="00CB7596">
        <w:rPr>
          <w:rFonts w:eastAsia="Times New Roman" w:cstheme="minorHAnsi"/>
          <w:sz w:val="18"/>
          <w:szCs w:val="18"/>
        </w:rPr>
        <w:t xml:space="preserve"> designa o conjunto de todos os pedidos, sem contar com os Pedidos Excluídos, para executar operações relativamente ao</w:t>
      </w:r>
      <w:r w:rsidR="00253062">
        <w:rPr>
          <w:rFonts w:eastAsia="Times New Roman" w:cstheme="minorHAnsi"/>
          <w:sz w:val="18"/>
          <w:szCs w:val="18"/>
        </w:rPr>
        <w:t> </w:t>
      </w:r>
      <w:r w:rsidRPr="00CB7596">
        <w:rPr>
          <w:rFonts w:eastAsia="Times New Roman" w:cstheme="minorHAnsi"/>
          <w:sz w:val="18"/>
          <w:szCs w:val="18"/>
        </w:rPr>
        <w:t>serviço Gestor de Dados do StorSimple durante um Período Aplicável para uma determinada subscrição do Microsoft Azure.</w:t>
      </w:r>
    </w:p>
    <w:p w14:paraId="0B9F46FA" w14:textId="1F73381E" w:rsidR="000F2B16" w:rsidRPr="00CB7596" w:rsidRDefault="00380305" w:rsidP="00A42102">
      <w:pPr>
        <w:spacing w:after="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Excluídos</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pedidos que resultam num código de estado HTTP 4xx.</w:t>
      </w:r>
    </w:p>
    <w:p w14:paraId="78728F4D" w14:textId="6A1DD741" w:rsidR="000F2B16" w:rsidRPr="00CB7596" w:rsidRDefault="00380305" w:rsidP="00A42102">
      <w:pPr>
        <w:spacing w:after="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com Falha</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5DF07CCD" w14:textId="4115322F" w:rsidR="000F2B16" w:rsidRPr="00EF7CF9" w:rsidRDefault="00AC48A7" w:rsidP="00F01ED6">
      <w:pPr>
        <w:pStyle w:val="ProductList-Body"/>
        <w:keepNext/>
        <w:rPr>
          <w:rFonts w:cstheme="minorHAnsi"/>
        </w:rPr>
      </w:pPr>
      <w:r>
        <w:rPr>
          <w:rFonts w:cstheme="minorHAnsi"/>
          <w:b/>
          <w:color w:val="00188F"/>
        </w:rPr>
        <w:t>Percentagem de Período de Disponibilidade</w:t>
      </w:r>
      <w:r w:rsidRPr="00473DD3">
        <w:rPr>
          <w:rFonts w:cstheme="minorHAnsi"/>
          <w:b/>
          <w:color w:val="00188F"/>
        </w:rPr>
        <w:t>:</w:t>
      </w:r>
      <w:r>
        <w:rPr>
          <w:rFonts w:cstheme="minorHAnsi"/>
        </w:rPr>
        <w:t xml:space="preserve"> A Percentagem de Período de Disponibilidade é calculada através da seguinte fórmula:</w:t>
      </w:r>
    </w:p>
    <w:p w14:paraId="4249BC7E" w14:textId="6BA28B65" w:rsidR="000F2B16" w:rsidRPr="00EF7CF9" w:rsidRDefault="00000000" w:rsidP="00A4210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5217A6"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277097">
        <w:tc>
          <w:tcPr>
            <w:tcW w:w="5400" w:type="dxa"/>
          </w:tcPr>
          <w:p w14:paraId="1CEB037A" w14:textId="77777777" w:rsidR="000F2B16" w:rsidRPr="00EF7CF9" w:rsidRDefault="000F2B16" w:rsidP="00F01ED6">
            <w:pPr>
              <w:pStyle w:val="ProductList-OfferingBody"/>
              <w:jc w:val="center"/>
            </w:pPr>
            <w:r>
              <w:t>&lt; 99,9%</w:t>
            </w:r>
          </w:p>
        </w:tc>
        <w:tc>
          <w:tcPr>
            <w:tcW w:w="5400" w:type="dxa"/>
          </w:tcPr>
          <w:p w14:paraId="7EF12227" w14:textId="77777777" w:rsidR="000F2B16" w:rsidRPr="00EF7CF9" w:rsidRDefault="000F2B16" w:rsidP="00F01ED6">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F01ED6">
            <w:pPr>
              <w:pStyle w:val="ProductList-OfferingBody"/>
              <w:jc w:val="center"/>
            </w:pPr>
            <w:r>
              <w:t>&lt; 99%</w:t>
            </w:r>
          </w:p>
        </w:tc>
        <w:tc>
          <w:tcPr>
            <w:tcW w:w="5400" w:type="dxa"/>
          </w:tcPr>
          <w:p w14:paraId="59D51305" w14:textId="77777777" w:rsidR="000F2B16" w:rsidRPr="00EF7CF9" w:rsidRDefault="000F2B16" w:rsidP="00F01ED6">
            <w:pPr>
              <w:pStyle w:val="ProductList-OfferingBody"/>
              <w:jc w:val="center"/>
            </w:pPr>
            <w:r>
              <w:t>25%</w:t>
            </w:r>
          </w:p>
        </w:tc>
      </w:tr>
    </w:tbl>
    <w:bookmarkStart w:id="396" w:name="_Toc457821583"/>
    <w:bookmarkStart w:id="397" w:name="_Toc52348991"/>
    <w:p w14:paraId="0E06204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E16F70" w14:textId="77777777" w:rsidR="000F2B16" w:rsidRPr="00EF7CF9" w:rsidRDefault="000F2B16" w:rsidP="00F01ED6">
      <w:pPr>
        <w:pStyle w:val="ProductList-Offering2Heading"/>
        <w:tabs>
          <w:tab w:val="clear" w:pos="360"/>
          <w:tab w:val="clear" w:pos="720"/>
          <w:tab w:val="clear" w:pos="1080"/>
        </w:tabs>
        <w:outlineLvl w:val="2"/>
      </w:pPr>
      <w:bookmarkStart w:id="398" w:name="_Toc214456876"/>
      <w:r>
        <w:t>Azure Stream Analytics</w:t>
      </w:r>
      <w:bookmarkEnd w:id="396"/>
      <w:bookmarkEnd w:id="397"/>
      <w:bookmarkEnd w:id="398"/>
    </w:p>
    <w:p w14:paraId="7C7D2088" w14:textId="73851088" w:rsidR="000F2B16" w:rsidRPr="004D48F5" w:rsidRDefault="00EE6E3C" w:rsidP="00F01ED6">
      <w:pPr>
        <w:pStyle w:val="ProductList-Body"/>
        <w:rPr>
          <w:b/>
          <w:color w:val="00188F"/>
        </w:rPr>
      </w:pPr>
      <w:r>
        <w:rPr>
          <w:b/>
          <w:color w:val="00188F"/>
        </w:rPr>
        <w:t>Cálculo do Período de Disponibilidade para Chamadas da API de Stream Analytics</w:t>
      </w:r>
    </w:p>
    <w:p w14:paraId="6756038E" w14:textId="77777777" w:rsidR="000F2B16" w:rsidRPr="00EF7CF9" w:rsidRDefault="000F2B16" w:rsidP="00F01ED6">
      <w:pPr>
        <w:pStyle w:val="ProductList-Body"/>
      </w:pPr>
      <w:r>
        <w:rPr>
          <w:b/>
          <w:color w:val="00188F"/>
        </w:rPr>
        <w:t>Definições Adicionais</w:t>
      </w:r>
      <w:r w:rsidRPr="00473DD3">
        <w:rPr>
          <w:b/>
          <w:color w:val="00188F"/>
        </w:rPr>
        <w:t>:</w:t>
      </w:r>
    </w:p>
    <w:p w14:paraId="69D34C0E" w14:textId="737DE3C9" w:rsidR="000F2B16" w:rsidRPr="00EF7CF9" w:rsidRDefault="00380305" w:rsidP="00A42102">
      <w:pPr>
        <w:pStyle w:val="ProductList-Body"/>
      </w:pPr>
      <w:r>
        <w:lastRenderedPageBreak/>
        <w:t>“</w:t>
      </w:r>
      <w:r w:rsidR="000F2B16">
        <w:rPr>
          <w:b/>
          <w:color w:val="00188F"/>
        </w:rPr>
        <w:t>Total de Tentativas de Transação</w:t>
      </w:r>
      <w:r>
        <w:t>”</w:t>
      </w:r>
      <w:r w:rsidR="000F2B16">
        <w:t xml:space="preserve"> é o número total de pedidos de BES REST autenticados para gerir uma tarefa de transmissão em fluxo no</w:t>
      </w:r>
      <w:r w:rsidR="00451C0A">
        <w:t> </w:t>
      </w:r>
      <w:r w:rsidR="000F2B16">
        <w:t xml:space="preserve">Serviço Stream Analytics efetuado pelo Cliente durante um Período Aplicável para uma determinada subscrição do Microsoft Azure. </w:t>
      </w:r>
    </w:p>
    <w:p w14:paraId="6A199D62" w14:textId="574FCDED" w:rsidR="000F2B16" w:rsidRPr="00EF7CF9" w:rsidRDefault="00380305" w:rsidP="00A42102">
      <w:pPr>
        <w:pStyle w:val="ProductList-Body"/>
      </w:pPr>
      <w:r>
        <w:t>“</w:t>
      </w:r>
      <w:r w:rsidR="000F2B16">
        <w:rPr>
          <w:b/>
          <w:color w:val="00188F"/>
        </w:rPr>
        <w:t>Transações com Falha</w:t>
      </w:r>
      <w:r>
        <w:t>”</w:t>
      </w:r>
      <w:r w:rsidR="000F2B16">
        <w:t xml:space="preserve"> é o conjunto de todos os pedidos no Total de Tentativas de Transação que devolvem um Código de Erro ou de outro modo</w:t>
      </w:r>
      <w:r w:rsidR="00451C0A">
        <w:t> </w:t>
      </w:r>
      <w:r w:rsidR="000F2B16">
        <w:t>não devolvem um Código de Êxito no prazo de 5 minutos a partir da receção do pedido por parte da Microsoft.</w:t>
      </w:r>
    </w:p>
    <w:p w14:paraId="73B7B2CF" w14:textId="5FFCB653" w:rsidR="000F2B16" w:rsidRPr="00EF7CF9" w:rsidRDefault="000F2B16" w:rsidP="00F01ED6">
      <w:pPr>
        <w:pStyle w:val="ProductList-Body"/>
        <w:keepNext/>
      </w:pPr>
      <w:r>
        <w:t xml:space="preserve">A </w:t>
      </w:r>
      <w:r w:rsidR="00380305">
        <w:t>“</w:t>
      </w:r>
      <w:r>
        <w:rPr>
          <w:b/>
          <w:color w:val="00188F"/>
        </w:rPr>
        <w:t>Percentagem de Período de Disponibilidade</w:t>
      </w:r>
      <w:r w:rsidR="00380305">
        <w:t>”</w:t>
      </w:r>
      <w:r>
        <w:t xml:space="preserve"> para chamadas da API no Serviço Stream Analytics é representada pela seguinte fórmula: </w:t>
      </w:r>
    </w:p>
    <w:p w14:paraId="4635A583" w14:textId="534D7907" w:rsidR="000F2B16" w:rsidRPr="009E2B16" w:rsidRDefault="006A28BC" w:rsidP="00427A58">
      <w:pPr>
        <w:spacing w:before="120" w:after="0"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29BC21A9" w:rsidR="000F2B16" w:rsidRPr="00EF7CF9" w:rsidRDefault="000F2B16" w:rsidP="00E31349">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D10B9B"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277097">
        <w:tc>
          <w:tcPr>
            <w:tcW w:w="5400" w:type="dxa"/>
          </w:tcPr>
          <w:p w14:paraId="0AF06446" w14:textId="77777777" w:rsidR="000F2B16" w:rsidRPr="00EF7CF9" w:rsidRDefault="000F2B16" w:rsidP="00F01ED6">
            <w:pPr>
              <w:pStyle w:val="ProductList-OfferingBody"/>
              <w:jc w:val="center"/>
            </w:pPr>
            <w:r>
              <w:t>&lt; 99,9%</w:t>
            </w:r>
          </w:p>
        </w:tc>
        <w:tc>
          <w:tcPr>
            <w:tcW w:w="5400" w:type="dxa"/>
          </w:tcPr>
          <w:p w14:paraId="43437E77" w14:textId="77777777" w:rsidR="000F2B16" w:rsidRPr="00EF7CF9" w:rsidRDefault="000F2B16" w:rsidP="00F01ED6">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F01ED6">
            <w:pPr>
              <w:pStyle w:val="ProductList-OfferingBody"/>
              <w:jc w:val="center"/>
            </w:pPr>
            <w:r>
              <w:t>&lt; 99%</w:t>
            </w:r>
          </w:p>
        </w:tc>
        <w:tc>
          <w:tcPr>
            <w:tcW w:w="5400" w:type="dxa"/>
          </w:tcPr>
          <w:p w14:paraId="552030F9" w14:textId="77777777" w:rsidR="000F2B16" w:rsidRPr="00EF7CF9" w:rsidRDefault="000F2B16" w:rsidP="00F01ED6">
            <w:pPr>
              <w:pStyle w:val="ProductList-OfferingBody"/>
              <w:jc w:val="center"/>
            </w:pPr>
            <w:r>
              <w:t>25%</w:t>
            </w:r>
          </w:p>
        </w:tc>
      </w:tr>
    </w:tbl>
    <w:p w14:paraId="5B98E0DF" w14:textId="6ACB12BE" w:rsidR="000F2B16" w:rsidRPr="004D48F5" w:rsidRDefault="00EE6E3C" w:rsidP="00E13B53">
      <w:pPr>
        <w:pStyle w:val="ProductList-Body"/>
        <w:spacing w:before="120"/>
        <w:rPr>
          <w:b/>
          <w:color w:val="00188F"/>
        </w:rPr>
      </w:pPr>
      <w:r>
        <w:rPr>
          <w:b/>
          <w:color w:val="00188F"/>
        </w:rPr>
        <w:t>Cálculo do Período de Disponibilidade para Tarefas de Stream Analytics</w:t>
      </w:r>
    </w:p>
    <w:p w14:paraId="12F7A813" w14:textId="77777777" w:rsidR="000F2B16" w:rsidRPr="00EF7CF9" w:rsidRDefault="000F2B16" w:rsidP="00F01ED6">
      <w:pPr>
        <w:pStyle w:val="ProductList-Body"/>
      </w:pPr>
      <w:r>
        <w:rPr>
          <w:b/>
          <w:color w:val="00188F"/>
        </w:rPr>
        <w:t>Definições Adicionais</w:t>
      </w:r>
      <w:r w:rsidRPr="00473DD3">
        <w:rPr>
          <w:b/>
          <w:color w:val="00188F"/>
        </w:rPr>
        <w:t>:</w:t>
      </w:r>
    </w:p>
    <w:p w14:paraId="41F7AB4E" w14:textId="465A6AC0" w:rsidR="000F2B16" w:rsidRPr="00EF7CF9" w:rsidRDefault="00380305" w:rsidP="00F01ED6">
      <w:pPr>
        <w:pStyle w:val="ProductList-Body"/>
        <w:tabs>
          <w:tab w:val="left" w:pos="0"/>
        </w:tabs>
        <w:spacing w:after="40"/>
        <w:jc w:val="both"/>
      </w:pPr>
      <w:r>
        <w:t>“</w:t>
      </w:r>
      <w:r w:rsidR="000F2B16">
        <w:rPr>
          <w:b/>
          <w:color w:val="00188F"/>
        </w:rPr>
        <w:t>Minutos de Implementação</w:t>
      </w:r>
      <w:r>
        <w:t>”</w:t>
      </w:r>
      <w:r w:rsidR="000F2B16">
        <w:t xml:space="preserve"> designa o número total de minutos durante os quais uma determinada tarefa foi implementada no Serviço Stream Analytics durante um Período Aplicável.</w:t>
      </w:r>
    </w:p>
    <w:p w14:paraId="5573B756" w14:textId="5EF2EFD8" w:rsidR="000F2B16" w:rsidRDefault="00380305" w:rsidP="00F01ED6">
      <w:pPr>
        <w:pStyle w:val="ProductList-Body"/>
        <w:tabs>
          <w:tab w:val="left" w:pos="0"/>
        </w:tabs>
      </w:pPr>
      <w:r>
        <w:t>“</w:t>
      </w:r>
      <w:r w:rsidR="000F2B16">
        <w:rPr>
          <w:b/>
          <w:color w:val="00188F"/>
        </w:rPr>
        <w:t>Máximo de Minutos Disponíveis</w:t>
      </w:r>
      <w:r>
        <w:t>”</w:t>
      </w:r>
      <w:r w:rsidR="000F2B16">
        <w:t xml:space="preserve"> designa a soma de todos os Minutos de Implementação em todas as tarefas implementadas pelo Cliente numa determinada subscrição do Microsoft Azure durante um Período Aplicável.</w:t>
      </w:r>
    </w:p>
    <w:p w14:paraId="534D3C93" w14:textId="77777777" w:rsidR="000F2B16" w:rsidRPr="00EF7CF9" w:rsidRDefault="000F2B16" w:rsidP="00F01ED6">
      <w:pPr>
        <w:pStyle w:val="ProductList-Body"/>
        <w:tabs>
          <w:tab w:val="left" w:pos="0"/>
        </w:tabs>
        <w:jc w:val="both"/>
      </w:pPr>
      <w:r>
        <w:rPr>
          <w:b/>
          <w:color w:val="00188F"/>
        </w:rPr>
        <w:t>Período de Indisponibilidade</w:t>
      </w:r>
      <w:r>
        <w:t xml:space="preserve"> designa o total de Minutos de Implementação acumulados, em todas as tarefas implementadas pelo Cliente numa determinada subscrição do Microsoft Azure, na qual a tarefa está indisponível. Um minuto é considerado indisponível para uma tarefa implementada se a tarefa não estiver a processar dados, nem estiver disponível para processar dados no decurso desse minuto.</w:t>
      </w:r>
    </w:p>
    <w:p w14:paraId="5519C78A" w14:textId="2BF322DA" w:rsidR="000F2B16" w:rsidRPr="00EF7CF9" w:rsidRDefault="00AC48A7" w:rsidP="00F01ED6">
      <w:pPr>
        <w:pStyle w:val="ProductList-Body"/>
        <w:keepNext/>
        <w:tabs>
          <w:tab w:val="left" w:pos="0"/>
        </w:tabs>
        <w:jc w:val="both"/>
      </w:pPr>
      <w:r>
        <w:t xml:space="preserve">A </w:t>
      </w:r>
      <w:r>
        <w:rPr>
          <w:b/>
          <w:color w:val="00188F"/>
        </w:rPr>
        <w:t>Percentagem de Período de Disponibilidade</w:t>
      </w:r>
      <w:r>
        <w:t xml:space="preserve"> para tarefas no Serviço Stream Analytics é representada pela seguinte fórmula:</w:t>
      </w:r>
    </w:p>
    <w:p w14:paraId="45B1882D" w14:textId="4A100F44" w:rsidR="000F2B16" w:rsidRPr="00EF7CF9" w:rsidRDefault="00000000" w:rsidP="00427A5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C204FB"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B49B9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277097">
        <w:tc>
          <w:tcPr>
            <w:tcW w:w="5400" w:type="dxa"/>
          </w:tcPr>
          <w:p w14:paraId="38FF9D80" w14:textId="77777777" w:rsidR="000F2B16" w:rsidRPr="00EF7CF9" w:rsidRDefault="000F2B16" w:rsidP="00F01ED6">
            <w:pPr>
              <w:pStyle w:val="ProductList-OfferingBody"/>
              <w:jc w:val="center"/>
            </w:pPr>
            <w:r>
              <w:t>&lt; 99,9%</w:t>
            </w:r>
          </w:p>
        </w:tc>
        <w:tc>
          <w:tcPr>
            <w:tcW w:w="5400" w:type="dxa"/>
          </w:tcPr>
          <w:p w14:paraId="414A1B75" w14:textId="77777777" w:rsidR="000F2B16" w:rsidRPr="00EF7CF9" w:rsidRDefault="000F2B16" w:rsidP="00F01ED6">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F01ED6">
            <w:pPr>
              <w:pStyle w:val="ProductList-OfferingBody"/>
              <w:jc w:val="center"/>
            </w:pPr>
            <w:r>
              <w:t>&lt; 99%</w:t>
            </w:r>
          </w:p>
        </w:tc>
        <w:tc>
          <w:tcPr>
            <w:tcW w:w="5400" w:type="dxa"/>
          </w:tcPr>
          <w:p w14:paraId="548FD21B" w14:textId="77777777" w:rsidR="000F2B16" w:rsidRPr="00EF7CF9" w:rsidRDefault="000F2B16" w:rsidP="00F01ED6">
            <w:pPr>
              <w:pStyle w:val="ProductList-OfferingBody"/>
              <w:jc w:val="center"/>
            </w:pPr>
            <w:r>
              <w:t>25%</w:t>
            </w:r>
          </w:p>
        </w:tc>
      </w:tr>
    </w:tbl>
    <w:bookmarkStart w:id="399" w:name="SQLDatabaseService_BasicStandardPremium"/>
    <w:bookmarkStart w:id="400" w:name="_Toc412532210"/>
    <w:p w14:paraId="1395AD9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6DF67F" w14:textId="09E26FA4" w:rsidR="00532997" w:rsidRPr="00EF7CF9" w:rsidRDefault="00532997" w:rsidP="00E575FA">
      <w:pPr>
        <w:pStyle w:val="ProductList-Offering2Heading"/>
        <w:tabs>
          <w:tab w:val="clear" w:pos="360"/>
          <w:tab w:val="clear" w:pos="720"/>
          <w:tab w:val="clear" w:pos="1080"/>
        </w:tabs>
        <w:outlineLvl w:val="2"/>
      </w:pPr>
      <w:bookmarkStart w:id="401" w:name="_Toc214456877"/>
      <w:r>
        <w:t>Azure Synapse Analytics</w:t>
      </w:r>
      <w:bookmarkEnd w:id="401"/>
    </w:p>
    <w:p w14:paraId="22966524" w14:textId="77777777" w:rsidR="00532997" w:rsidRPr="00EF7CF9" w:rsidRDefault="00532997" w:rsidP="00F01ED6">
      <w:pPr>
        <w:pStyle w:val="ProductList-Body"/>
      </w:pPr>
      <w:r>
        <w:rPr>
          <w:b/>
          <w:color w:val="00188F"/>
        </w:rPr>
        <w:t>Definições Adicionais</w:t>
      </w:r>
      <w:r w:rsidRPr="00473DD3">
        <w:rPr>
          <w:b/>
          <w:color w:val="00188F"/>
        </w:rPr>
        <w:t>:</w:t>
      </w:r>
    </w:p>
    <w:p w14:paraId="7EB2EB6B" w14:textId="77777777" w:rsidR="00532997" w:rsidRPr="00ED4527" w:rsidRDefault="00532997" w:rsidP="00F01ED6">
      <w:pPr>
        <w:pStyle w:val="ProductList-Body"/>
        <w:spacing w:after="40"/>
        <w:rPr>
          <w:b/>
          <w:bCs/>
          <w:color w:val="00188F"/>
        </w:rPr>
      </w:pPr>
      <w:r>
        <w:rPr>
          <w:b/>
          <w:bCs/>
          <w:color w:val="00188F"/>
        </w:rPr>
        <w:t>Synapse SQL</w:t>
      </w:r>
    </w:p>
    <w:p w14:paraId="30FE63CE" w14:textId="455C7107"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Base de Dados</w:t>
      </w:r>
      <w:r>
        <w:rPr>
          <w:color w:val="000000" w:themeColor="text1"/>
        </w:rPr>
        <w:t>”</w:t>
      </w:r>
      <w:r w:rsidR="00532997">
        <w:rPr>
          <w:color w:val="000000" w:themeColor="text1"/>
        </w:rPr>
        <w:t xml:space="preserve"> designa qualquer base de dados Synapse SQL.</w:t>
      </w:r>
    </w:p>
    <w:p w14:paraId="2A479A19" w14:textId="542F4F6D"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designa o número total de minutos durante os quais uma determinada Base de Dados foi implementada no</w:t>
      </w:r>
      <w:r w:rsidR="00A675AC">
        <w:rPr>
          <w:color w:val="000000" w:themeColor="text1"/>
        </w:rPr>
        <w:t> </w:t>
      </w:r>
      <w:r w:rsidR="00532997">
        <w:rPr>
          <w:color w:val="000000" w:themeColor="text1"/>
        </w:rPr>
        <w:t>Microsoft Azure durante um Período Aplicável numa determinada subscrição do Microsoft Azure.</w:t>
      </w:r>
    </w:p>
    <w:p w14:paraId="17EF76C5" w14:textId="5539DA7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designa um conjunto de todas as operações documentadas suportadas pelo Azure Synapse Analytics.</w:t>
      </w:r>
    </w:p>
    <w:p w14:paraId="58AC1432" w14:textId="7066CE6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Período de Indisponibilidade</w:t>
      </w:r>
      <w:r>
        <w:rPr>
          <w:color w:val="000000" w:themeColor="text1"/>
        </w:rPr>
        <w:t>”</w:t>
      </w:r>
      <w:r w:rsidR="00532997">
        <w:rPr>
          <w:color w:val="000000" w:themeColor="text1"/>
        </w:rPr>
        <w:t xml:space="preserve"> designa o total de minutos acumulados durante um Período Aplicável para uma determinada subscrição do Microsoft Azure durante o qual uma determinada Base de Dados está indisponível. Um minuto é considerado indisponível para uma determinada Base de Dados se mais de 1% de todas as Operações do Cliente completadas durante esse minuto devolverem um Código de Erro.</w:t>
      </w:r>
    </w:p>
    <w:p w14:paraId="5C8F9795" w14:textId="5A74BD9A" w:rsidR="00532997" w:rsidRPr="006A28BC" w:rsidRDefault="00532997" w:rsidP="00F01ED6">
      <w:pPr>
        <w:pStyle w:val="ProductList-Body"/>
        <w:spacing w:after="40"/>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uma determinada Base de Dados designa um cálculo do Máximo de Minutos Disponíveis menos o Período de Indisponibilidade, a dividir pelo Máximo de Minutos Disponíveis num Período Aplicável numa determinada subscrição do Azure. </w:t>
      </w:r>
    </w:p>
    <w:p w14:paraId="0BB70BAB" w14:textId="18E2869A" w:rsidR="00532997" w:rsidRPr="00EF7CF9" w:rsidRDefault="00AC48A7" w:rsidP="00F01ED6">
      <w:pPr>
        <w:pStyle w:val="ProductList-Body"/>
      </w:pPr>
      <w:r>
        <w:rPr>
          <w:color w:val="000000" w:themeColor="text1"/>
        </w:rPr>
        <w:t>A Percentagem de Período de Disponibilidade é representada pela seguinte fórmula:</w:t>
      </w:r>
    </w:p>
    <w:p w14:paraId="08475F1D" w14:textId="6E75EA5E" w:rsidR="00532997" w:rsidRPr="00EF7CF9" w:rsidRDefault="00000000" w:rsidP="00253A6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1893A8" w14:textId="77777777" w:rsidR="00532997" w:rsidRPr="00EF7CF9" w:rsidRDefault="0053299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FCB274"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277097">
        <w:tc>
          <w:tcPr>
            <w:tcW w:w="5400" w:type="dxa"/>
          </w:tcPr>
          <w:p w14:paraId="1FBF6E07" w14:textId="77777777" w:rsidR="00532997" w:rsidRPr="00EF7CF9" w:rsidRDefault="00532997" w:rsidP="00F01ED6">
            <w:pPr>
              <w:pStyle w:val="ProductList-OfferingBody"/>
              <w:jc w:val="center"/>
            </w:pPr>
            <w:r>
              <w:t>&lt; 99,9%</w:t>
            </w:r>
          </w:p>
        </w:tc>
        <w:tc>
          <w:tcPr>
            <w:tcW w:w="5400" w:type="dxa"/>
          </w:tcPr>
          <w:p w14:paraId="0DECC2FC" w14:textId="77777777" w:rsidR="00532997" w:rsidRPr="00EF7CF9" w:rsidRDefault="00532997" w:rsidP="00F01ED6">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F01ED6">
            <w:pPr>
              <w:pStyle w:val="ProductList-OfferingBody"/>
              <w:jc w:val="center"/>
            </w:pPr>
            <w:r>
              <w:t>&lt; 99%</w:t>
            </w:r>
          </w:p>
        </w:tc>
        <w:tc>
          <w:tcPr>
            <w:tcW w:w="5400" w:type="dxa"/>
          </w:tcPr>
          <w:p w14:paraId="06B1E4C8" w14:textId="77777777" w:rsidR="00532997" w:rsidRPr="00EF7CF9" w:rsidRDefault="00532997" w:rsidP="00F01ED6">
            <w:pPr>
              <w:pStyle w:val="ProductList-OfferingBody"/>
              <w:jc w:val="center"/>
            </w:pPr>
            <w:r>
              <w:t>25%</w:t>
            </w:r>
          </w:p>
        </w:tc>
      </w:tr>
    </w:tbl>
    <w:p w14:paraId="00B03A53" w14:textId="77777777" w:rsidR="00532997" w:rsidRPr="00ED4527" w:rsidRDefault="00532997" w:rsidP="00755122">
      <w:pPr>
        <w:pStyle w:val="ProductList-Body"/>
        <w:spacing w:before="120"/>
        <w:rPr>
          <w:b/>
          <w:bCs/>
          <w:color w:val="00188F"/>
        </w:rPr>
      </w:pPr>
      <w:bookmarkStart w:id="402" w:name="_Toc457821578"/>
      <w:r>
        <w:rPr>
          <w:b/>
          <w:bCs/>
          <w:color w:val="00188F"/>
        </w:rPr>
        <w:t>Integração de Dados no Azure Synapse</w:t>
      </w:r>
    </w:p>
    <w:p w14:paraId="03BA2359" w14:textId="1E9EEA3B" w:rsidR="00532997" w:rsidRPr="00ED4527" w:rsidRDefault="00380305" w:rsidP="00F01ED6">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designa os runtimes de integração (incluindo o Azure e Runtimes de Integração Autoalojados), acionadores, pipelines, conjuntos de dados e serviços associados criados numa área de trabalho do Azure Synapse.</w:t>
      </w:r>
    </w:p>
    <w:p w14:paraId="16EAD2B8" w14:textId="69BBD5F9" w:rsidR="00532997" w:rsidRPr="00ED4527" w:rsidRDefault="00380305" w:rsidP="00F01ED6">
      <w:pPr>
        <w:pStyle w:val="ProductList-Body"/>
        <w:rPr>
          <w:color w:val="000000" w:themeColor="text1"/>
        </w:rPr>
      </w:pPr>
      <w:r>
        <w:rPr>
          <w:color w:val="000000" w:themeColor="text1"/>
        </w:rPr>
        <w:lastRenderedPageBreak/>
        <w:t>“</w:t>
      </w:r>
      <w:r w:rsidR="00532997">
        <w:rPr>
          <w:b/>
          <w:bCs/>
          <w:color w:val="00188F"/>
        </w:rPr>
        <w:t>Execução de Atividade</w:t>
      </w:r>
      <w:r>
        <w:rPr>
          <w:color w:val="000000" w:themeColor="text1"/>
        </w:rPr>
        <w:t>”</w:t>
      </w:r>
      <w:r w:rsidR="00532997">
        <w:rPr>
          <w:color w:val="000000" w:themeColor="text1"/>
        </w:rPr>
        <w:t xml:space="preserve"> designa a execução ou a tentativa de execução de uma atividade.</w:t>
      </w:r>
    </w:p>
    <w:p w14:paraId="49A2A375" w14:textId="5F8625B1" w:rsidR="00532997" w:rsidRPr="00ED4527" w:rsidRDefault="00EE6E3C" w:rsidP="00F01ED6">
      <w:pPr>
        <w:pStyle w:val="ProductList-Body"/>
        <w:spacing w:before="120"/>
        <w:rPr>
          <w:b/>
          <w:bCs/>
          <w:color w:val="00188F"/>
        </w:rPr>
      </w:pPr>
      <w:r>
        <w:rPr>
          <w:b/>
          <w:bCs/>
          <w:color w:val="00188F"/>
        </w:rPr>
        <w:t>Cálculo do Período de Disponibilidade para Chamadas da API para a Integração de Dados</w:t>
      </w:r>
    </w:p>
    <w:p w14:paraId="7F65AC6D" w14:textId="5AE9C014" w:rsidR="00532997" w:rsidRPr="00ED4527" w:rsidRDefault="00380305" w:rsidP="00F01ED6">
      <w:pPr>
        <w:pStyle w:val="ProductList-Body"/>
        <w:rPr>
          <w:color w:val="000000" w:themeColor="text1"/>
        </w:rPr>
      </w:pPr>
      <w:r>
        <w:rPr>
          <w:color w:val="000000" w:themeColor="text1"/>
        </w:rPr>
        <w:t>“</w:t>
      </w:r>
      <w:r w:rsidR="00532997">
        <w:rPr>
          <w:b/>
          <w:bCs/>
          <w:color w:val="00188F"/>
        </w:rPr>
        <w:t>Total de Pedidos</w:t>
      </w:r>
      <w:r>
        <w:rPr>
          <w:color w:val="000000" w:themeColor="text1"/>
        </w:rPr>
        <w:t>”</w:t>
      </w:r>
      <w:r w:rsidR="00532997">
        <w:rPr>
          <w:color w:val="000000" w:themeColor="text1"/>
        </w:rPr>
        <w:t xml:space="preserve"> designa o conjunto de todos os pedidos, que não Pedidos Excluídos, para executar operações relativamente a Recursos de</w:t>
      </w:r>
      <w:r w:rsidR="009F224E">
        <w:rPr>
          <w:color w:val="000000" w:themeColor="text1"/>
        </w:rPr>
        <w:t> </w:t>
      </w:r>
      <w:r w:rsidR="00532997">
        <w:rPr>
          <w:color w:val="000000" w:themeColor="text1"/>
        </w:rPr>
        <w:t>Integração de Dados durante um Período Aplicável para uma determinada subscrição do Microsoft Azure.</w:t>
      </w:r>
    </w:p>
    <w:p w14:paraId="7A94DDB6" w14:textId="023E07E3" w:rsidR="00532997" w:rsidRPr="00ED4527" w:rsidRDefault="00380305" w:rsidP="00F01ED6">
      <w:pPr>
        <w:pStyle w:val="ProductList-Body"/>
        <w:rPr>
          <w:color w:val="000000" w:themeColor="text1"/>
        </w:rPr>
      </w:pPr>
      <w:r>
        <w:rPr>
          <w:color w:val="000000" w:themeColor="text1"/>
        </w:rPr>
        <w:t>“</w:t>
      </w:r>
      <w:r w:rsidR="00532997">
        <w:rPr>
          <w:b/>
          <w:bCs/>
          <w:color w:val="00188F"/>
        </w:rPr>
        <w:t>Pedidos Excluídos</w:t>
      </w:r>
      <w:r>
        <w:rPr>
          <w:color w:val="000000" w:themeColor="text1"/>
        </w:rPr>
        <w:t>”</w:t>
      </w:r>
      <w:r w:rsidR="00532997">
        <w:rPr>
          <w:color w:val="000000" w:themeColor="text1"/>
        </w:rPr>
        <w:t xml:space="preserve"> designa o conjunto de pedidos que resultam num código de estado HTTP 4xx, que não um código de estado HTTP 408.</w:t>
      </w:r>
    </w:p>
    <w:p w14:paraId="3C0A82BB" w14:textId="5CAAC1AA" w:rsidR="00532997" w:rsidRPr="00ED4527" w:rsidRDefault="00380305" w:rsidP="00F01ED6">
      <w:pPr>
        <w:pStyle w:val="ProductList-Body"/>
        <w:rPr>
          <w:color w:val="000000" w:themeColor="text1"/>
        </w:rPr>
      </w:pPr>
      <w:r>
        <w:rPr>
          <w:color w:val="000000" w:themeColor="text1"/>
        </w:rPr>
        <w:t>“</w:t>
      </w:r>
      <w:r w:rsidR="00532997">
        <w:rPr>
          <w:b/>
          <w:bCs/>
          <w:color w:val="00188F"/>
        </w:rPr>
        <w:t>Pedidos com Falha</w:t>
      </w:r>
      <w:r>
        <w:rPr>
          <w:color w:val="000000" w:themeColor="text1"/>
        </w:rPr>
        <w:t>”</w:t>
      </w:r>
      <w:r w:rsidR="00532997">
        <w:rPr>
          <w:color w:val="000000" w:themeColor="text1"/>
        </w:rPr>
        <w:t xml:space="preserve"> designa o conjunto de todos os pedidos no Total de Pedidos que devolvem um Código de Erro ou um código de estado HTTP 408 ou que não devolvem um Código de Êxito num prazo de dois minutos.</w:t>
      </w:r>
    </w:p>
    <w:p w14:paraId="7A462442" w14:textId="010D30FD" w:rsidR="00532997" w:rsidRPr="006A28BC" w:rsidRDefault="00532997" w:rsidP="00F01ED6">
      <w:pPr>
        <w:pStyle w:val="ProductList-Body"/>
        <w:tabs>
          <w:tab w:val="clear" w:pos="360"/>
          <w:tab w:val="clear" w:pos="720"/>
          <w:tab w:val="clear" w:pos="1080"/>
        </w:tabs>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as chamadas da API efetuadas para os Recursos de Integração de Dados é calculada como o Total de Pedidos menos os Pedidos com Falha a dividir pelo Total de Pedidos num Período Aplicável para uma determinada subscrição do Microsoft Azure. </w:t>
      </w:r>
    </w:p>
    <w:p w14:paraId="6FEA007E" w14:textId="5F7F1507" w:rsidR="00532997"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51A208AC" w14:textId="500E6C33" w:rsidR="00532997" w:rsidRPr="00EF7CF9" w:rsidRDefault="00000000" w:rsidP="00A4210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F01ED6">
      <w:pPr>
        <w:pStyle w:val="ProductList-Body"/>
      </w:pPr>
      <w:r>
        <w:rPr>
          <w:b/>
          <w:color w:val="00188F"/>
        </w:rPr>
        <w:t>Os seguintes Créditos de Serviço são aplicáveis à utilização que o Cliente faz das chamadas da API de Integração de Dados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BA7EB0A"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277097">
        <w:tc>
          <w:tcPr>
            <w:tcW w:w="5400" w:type="dxa"/>
          </w:tcPr>
          <w:p w14:paraId="01B4503B" w14:textId="77777777" w:rsidR="00532997" w:rsidRPr="00EF7CF9" w:rsidRDefault="00532997" w:rsidP="00F01ED6">
            <w:pPr>
              <w:pStyle w:val="ProductList-OfferingBody"/>
              <w:jc w:val="center"/>
            </w:pPr>
            <w:r>
              <w:t>&lt; 99,9%</w:t>
            </w:r>
          </w:p>
        </w:tc>
        <w:tc>
          <w:tcPr>
            <w:tcW w:w="5400" w:type="dxa"/>
          </w:tcPr>
          <w:p w14:paraId="7D76A9D1" w14:textId="77777777" w:rsidR="00532997" w:rsidRPr="00EF7CF9" w:rsidRDefault="00532997" w:rsidP="00F01ED6">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F01ED6">
            <w:pPr>
              <w:pStyle w:val="ProductList-OfferingBody"/>
              <w:jc w:val="center"/>
            </w:pPr>
            <w:r>
              <w:t>&lt; 99%</w:t>
            </w:r>
          </w:p>
        </w:tc>
        <w:tc>
          <w:tcPr>
            <w:tcW w:w="5400" w:type="dxa"/>
          </w:tcPr>
          <w:p w14:paraId="20541ACD" w14:textId="77777777" w:rsidR="00532997" w:rsidRPr="00EF7CF9" w:rsidRDefault="00532997" w:rsidP="00F01ED6">
            <w:pPr>
              <w:pStyle w:val="ProductList-OfferingBody"/>
              <w:jc w:val="center"/>
            </w:pPr>
            <w:r>
              <w:t>25%</w:t>
            </w:r>
          </w:p>
        </w:tc>
      </w:tr>
    </w:tbl>
    <w:p w14:paraId="4D4CAB58" w14:textId="77777777" w:rsidR="00532997" w:rsidRPr="00ED4527" w:rsidRDefault="00532997" w:rsidP="00E13B53">
      <w:pPr>
        <w:pStyle w:val="ProductList-Body"/>
        <w:spacing w:before="120"/>
        <w:rPr>
          <w:b/>
          <w:bCs/>
          <w:color w:val="00188F"/>
        </w:rPr>
      </w:pPr>
      <w:r>
        <w:rPr>
          <w:b/>
          <w:bCs/>
          <w:color w:val="00188F"/>
        </w:rPr>
        <w:t>Apache Spark no Cálculo do Azure Synapse para Sessões do Spark</w:t>
      </w:r>
    </w:p>
    <w:p w14:paraId="11561E05" w14:textId="68EFB089" w:rsidR="00532997" w:rsidRPr="00ED4527" w:rsidRDefault="00380305" w:rsidP="00F01ED6">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designa o lançamento de uma nova sessão para executar uma tarefa, em modo interativo ou de lote. Excluindo as falhas de</w:t>
      </w:r>
      <w:r w:rsidR="00534AEA">
        <w:rPr>
          <w:color w:val="000000" w:themeColor="text1"/>
        </w:rPr>
        <w:t> </w:t>
      </w:r>
      <w:r w:rsidR="00532997">
        <w:rPr>
          <w:color w:val="000000" w:themeColor="text1"/>
        </w:rPr>
        <w:t>sessão devido a erros de utilizador, como recursos esgotados ou configuração de sessão.</w:t>
      </w:r>
    </w:p>
    <w:p w14:paraId="2FCA717F" w14:textId="77777777" w:rsidR="00532997" w:rsidRPr="00ED4527" w:rsidRDefault="00532997" w:rsidP="00F01ED6">
      <w:pPr>
        <w:pStyle w:val="ProductList-Body"/>
        <w:keepNext/>
        <w:tabs>
          <w:tab w:val="clear" w:pos="360"/>
          <w:tab w:val="clear" w:pos="720"/>
          <w:tab w:val="clear" w:pos="1080"/>
        </w:tabs>
        <w:spacing w:before="120"/>
        <w:rPr>
          <w:b/>
          <w:bCs/>
          <w:color w:val="00188F"/>
        </w:rPr>
      </w:pPr>
      <w:r>
        <w:rPr>
          <w:b/>
          <w:bCs/>
          <w:color w:val="00188F"/>
        </w:rPr>
        <w:t>Os seguintes Créditos de Serviço são aplicáveis à utilização que o Cliente faz do Spark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6DA271"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277097">
        <w:tc>
          <w:tcPr>
            <w:tcW w:w="5400" w:type="dxa"/>
          </w:tcPr>
          <w:p w14:paraId="42441E30" w14:textId="77777777" w:rsidR="00532997" w:rsidRPr="00EF7CF9" w:rsidRDefault="00532997" w:rsidP="00F01ED6">
            <w:pPr>
              <w:pStyle w:val="ProductList-OfferingBody"/>
              <w:jc w:val="center"/>
            </w:pPr>
            <w:r>
              <w:t>&lt; 99%</w:t>
            </w:r>
          </w:p>
        </w:tc>
        <w:tc>
          <w:tcPr>
            <w:tcW w:w="5400" w:type="dxa"/>
          </w:tcPr>
          <w:p w14:paraId="4A46FE17" w14:textId="77777777" w:rsidR="00532997" w:rsidRPr="00EF7CF9" w:rsidRDefault="00532997" w:rsidP="00F01ED6">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F01ED6">
            <w:pPr>
              <w:pStyle w:val="ProductList-OfferingBody"/>
              <w:jc w:val="center"/>
            </w:pPr>
            <w:r>
              <w:t>&lt; 95%</w:t>
            </w:r>
          </w:p>
        </w:tc>
        <w:tc>
          <w:tcPr>
            <w:tcW w:w="5400" w:type="dxa"/>
          </w:tcPr>
          <w:p w14:paraId="1B8DFCAA" w14:textId="77777777" w:rsidR="00532997" w:rsidRPr="00EF7CF9" w:rsidRDefault="00532997" w:rsidP="00F01ED6">
            <w:pPr>
              <w:pStyle w:val="ProductList-OfferingBody"/>
              <w:jc w:val="center"/>
            </w:pPr>
            <w:r>
              <w:t>25%</w:t>
            </w:r>
          </w:p>
        </w:tc>
      </w:tr>
    </w:tbl>
    <w:bookmarkEnd w:id="399"/>
    <w:bookmarkEnd w:id="400"/>
    <w:bookmarkEnd w:id="402"/>
    <w:p w14:paraId="7041739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4F39E8" w14:textId="77777777" w:rsidR="00C5766D" w:rsidRPr="00C5766D" w:rsidRDefault="00C5766D" w:rsidP="00F01ED6">
      <w:pPr>
        <w:pStyle w:val="ProductList-Offering2Heading"/>
        <w:keepNext/>
        <w:tabs>
          <w:tab w:val="clear" w:pos="360"/>
          <w:tab w:val="clear" w:pos="720"/>
          <w:tab w:val="clear" w:pos="1080"/>
        </w:tabs>
        <w:outlineLvl w:val="2"/>
      </w:pPr>
      <w:bookmarkStart w:id="403" w:name="_Toc214456878"/>
      <w:r>
        <w:t>Azure Time Series Insights</w:t>
      </w:r>
      <w:bookmarkEnd w:id="403"/>
    </w:p>
    <w:p w14:paraId="136D5B37" w14:textId="77777777" w:rsidR="00C5766D" w:rsidRPr="0073097F" w:rsidRDefault="00C5766D" w:rsidP="00F01ED6">
      <w:pPr>
        <w:pStyle w:val="ProductList-Body"/>
        <w:rPr>
          <w:b/>
          <w:bCs/>
          <w:color w:val="00188F"/>
        </w:rPr>
      </w:pPr>
      <w:r>
        <w:rPr>
          <w:b/>
          <w:bCs/>
          <w:color w:val="00188F"/>
        </w:rPr>
        <w:t>Definições Adicionais</w:t>
      </w:r>
    </w:p>
    <w:p w14:paraId="6551100A" w14:textId="4137B1A3" w:rsidR="00C5766D" w:rsidRDefault="00380305" w:rsidP="00F01ED6">
      <w:pPr>
        <w:pStyle w:val="ProductList-Body"/>
      </w:pPr>
      <w:r>
        <w:t>“</w:t>
      </w:r>
      <w:r w:rsidR="00C5766D">
        <w:rPr>
          <w:b/>
          <w:bCs/>
          <w:color w:val="00188F"/>
        </w:rPr>
        <w:t>Ambiente</w:t>
      </w:r>
      <w:r>
        <w:t>”</w:t>
      </w:r>
      <w:r w:rsidR="00C5766D">
        <w:t xml:space="preserve"> designa um ambiente de Informações de Série Temporais.</w:t>
      </w:r>
    </w:p>
    <w:p w14:paraId="694552FE" w14:textId="7E267157" w:rsidR="00C5766D" w:rsidRPr="0073097F" w:rsidRDefault="00EE6E3C" w:rsidP="00F01ED6">
      <w:pPr>
        <w:pStyle w:val="ProductList-Body"/>
        <w:rPr>
          <w:b/>
          <w:bCs/>
          <w:color w:val="00188F"/>
        </w:rPr>
      </w:pPr>
      <w:r>
        <w:rPr>
          <w:b/>
          <w:bCs/>
          <w:color w:val="00188F"/>
        </w:rPr>
        <w:t>Cálculo do Período de Disponibilidade e Níveis de Serviço para API dos planos de dados do Time Series Insights</w:t>
      </w:r>
    </w:p>
    <w:p w14:paraId="238DD023" w14:textId="0C553052" w:rsidR="00C5766D" w:rsidRPr="006A28BC" w:rsidRDefault="00380305" w:rsidP="00F01ED6">
      <w:pPr>
        <w:pStyle w:val="ProductList-Body"/>
        <w:jc w:val="both"/>
        <w:rPr>
          <w:spacing w:val="-3"/>
        </w:rPr>
      </w:pPr>
      <w:r>
        <w:rPr>
          <w:spacing w:val="-3"/>
        </w:rPr>
        <w:t>“</w:t>
      </w:r>
      <w:r w:rsidR="00C5766D" w:rsidRPr="006A28BC">
        <w:rPr>
          <w:b/>
          <w:bCs/>
          <w:color w:val="00188F"/>
          <w:spacing w:val="-3"/>
        </w:rPr>
        <w:t>API dos planos de dados das Informações de Série Temporais</w:t>
      </w:r>
      <w:r>
        <w:rPr>
          <w:spacing w:val="-3"/>
        </w:rPr>
        <w:t>”</w:t>
      </w:r>
      <w:r w:rsidR="00C5766D" w:rsidRPr="006A28BC">
        <w:rPr>
          <w:spacing w:val="-3"/>
        </w:rPr>
        <w:t xml:space="preserve"> designa uma API de consulta de análise de eventos para as Informações de Série Temporais.</w:t>
      </w:r>
    </w:p>
    <w:p w14:paraId="6B9213C0" w14:textId="4E16B840" w:rsidR="00C5766D" w:rsidRDefault="00380305" w:rsidP="00F01ED6">
      <w:pPr>
        <w:pStyle w:val="ProductList-Body"/>
      </w:pPr>
      <w:r>
        <w:t>“</w:t>
      </w:r>
      <w:r w:rsidR="00C5766D">
        <w:rPr>
          <w:b/>
          <w:bCs/>
          <w:color w:val="00188F"/>
        </w:rPr>
        <w:t>Pedido</w:t>
      </w:r>
      <w:r>
        <w:t>”</w:t>
      </w:r>
      <w:r w:rsidR="00C5766D">
        <w:t xml:space="preserve"> designa qualquer pedido documentado suportado pelas API dos planos de dados das Informações de Série Temporais.</w:t>
      </w:r>
    </w:p>
    <w:p w14:paraId="2396A988" w14:textId="6B813622" w:rsidR="00C5766D" w:rsidRDefault="00380305" w:rsidP="00F01ED6">
      <w:pPr>
        <w:pStyle w:val="ProductList-Body"/>
      </w:pPr>
      <w:r>
        <w:t>“</w:t>
      </w:r>
      <w:r w:rsidR="00C5766D">
        <w:rPr>
          <w:b/>
          <w:bCs/>
          <w:color w:val="00188F"/>
        </w:rPr>
        <w:t>Pedido com Falha</w:t>
      </w:r>
      <w:r>
        <w:t>”</w:t>
      </w:r>
      <w:r w:rsidR="00C5766D">
        <w:t xml:space="preserve"> designa um Pedido que devolve um Código de Erro.</w:t>
      </w:r>
    </w:p>
    <w:p w14:paraId="22EFBCA1" w14:textId="665BEF2F" w:rsidR="00C5766D" w:rsidRDefault="00380305" w:rsidP="00F01ED6">
      <w:pPr>
        <w:pStyle w:val="ProductList-Body"/>
      </w:pPr>
      <w:r>
        <w:t>“</w:t>
      </w:r>
      <w:r w:rsidR="00C5766D">
        <w:rPr>
          <w:b/>
          <w:bCs/>
          <w:color w:val="00188F"/>
        </w:rPr>
        <w:t>Taxa de Erros</w:t>
      </w:r>
      <w:r>
        <w:t>”</w:t>
      </w:r>
      <w:r w:rsidR="00C5766D">
        <w:t xml:space="preserve"> designa o número total de Pedidos com Falha a dividir pelo número total de Pedidos durante um determinado intervalo de um minuto, para todos os Ambientes numa certa Subscrição do Microsoft Azure. Se o utilizador não fez quaisquer Pedidos neste minuto, a Taxa de Erros para esse intervalo é de 0%.</w:t>
      </w:r>
    </w:p>
    <w:p w14:paraId="202FE9CA" w14:textId="769C51C5" w:rsidR="00C5766D" w:rsidRDefault="00C5766D" w:rsidP="00F01ED6">
      <w:pPr>
        <w:pStyle w:val="ProductList-Body"/>
      </w:pPr>
      <w:r>
        <w:t xml:space="preserve">A </w:t>
      </w:r>
      <w:r w:rsidR="00380305">
        <w:t>“</w:t>
      </w:r>
      <w:r>
        <w:rPr>
          <w:b/>
          <w:bCs/>
          <w:color w:val="00188F"/>
        </w:rPr>
        <w:t>Taxa Média de Erros</w:t>
      </w:r>
      <w:r w:rsidR="00380305">
        <w:t>”</w:t>
      </w:r>
      <w:r>
        <w:t xml:space="preserve"> para um Período Aplicável designa a soma das Taxas de Erros para cada minuto no Período Aplicável a dividir pelo número total de minutos no Período Aplicável.</w:t>
      </w:r>
    </w:p>
    <w:p w14:paraId="471C3B56" w14:textId="00691256" w:rsidR="00B84D9B" w:rsidRDefault="00C5766D" w:rsidP="008D412A">
      <w:pPr>
        <w:pStyle w:val="ProductList-Body"/>
        <w:rPr>
          <w:spacing w:val="-3"/>
        </w:rPr>
      </w:pPr>
      <w:r w:rsidRPr="006A28BC">
        <w:rPr>
          <w:spacing w:val="-3"/>
        </w:rPr>
        <w:t xml:space="preserve">A </w:t>
      </w:r>
      <w:r w:rsidR="00380305">
        <w:rPr>
          <w:spacing w:val="-3"/>
        </w:rPr>
        <w:t>“</w:t>
      </w:r>
      <w:r w:rsidRPr="006A28BC">
        <w:rPr>
          <w:b/>
          <w:bCs/>
          <w:color w:val="00188F"/>
          <w:spacing w:val="-3"/>
        </w:rPr>
        <w:t>Percentagem de Disponibilidade</w:t>
      </w:r>
      <w:r w:rsidR="00380305">
        <w:rPr>
          <w:spacing w:val="-3"/>
        </w:rPr>
        <w:t>”</w:t>
      </w:r>
      <w:r w:rsidRPr="006A28BC">
        <w:rPr>
          <w:spacing w:val="-3"/>
        </w:rPr>
        <w:t xml:space="preserve"> para a API dos planos de dados do Time Series Insights é calculada ao subtrair de 100% a Taxa Média de Erros para uma determinada subscrição do Microsoft Azure num Período Aplicável. A Percentagem de Disponibilidade é representada pela seguinte fórmula:</w:t>
      </w:r>
    </w:p>
    <w:p w14:paraId="11B18E61" w14:textId="5D9568C8" w:rsidR="00B84D9B" w:rsidRPr="00DB1B7E" w:rsidRDefault="00B84D9B" w:rsidP="0029252C">
      <w:pPr>
        <w:pStyle w:val="ProductList-Body"/>
        <w:tabs>
          <w:tab w:val="clear" w:pos="360"/>
          <w:tab w:val="clear" w:pos="720"/>
          <w:tab w:val="clear" w:pos="1080"/>
        </w:tabs>
        <w:spacing w:before="120" w:after="120"/>
        <w:jc w:val="center"/>
        <w:rPr>
          <w:rFonts w:ascii="Cambria Math" w:hAnsi="Cambria Math"/>
          <w:i/>
          <w:iCs/>
          <w:color w:val="000000" w:themeColor="text1"/>
        </w:rPr>
      </w:pPr>
      <w:r w:rsidRPr="00F01ED6">
        <w:rPr>
          <w:rFonts w:ascii="Cambria Math" w:hAnsi="Cambria Math"/>
          <w:color w:val="000000" w:themeColor="text1"/>
        </w:rPr>
        <w:t>100%</w:t>
      </w:r>
      <w:r>
        <w:rPr>
          <w:rFonts w:ascii="Cambria Math" w:hAnsi="Cambria Math"/>
          <w:i/>
          <w:iCs/>
          <w:color w:val="000000" w:themeColor="text1"/>
        </w:rPr>
        <w:t xml:space="preserve"> </w:t>
      </w:r>
      <w:r w:rsidR="00D2686E">
        <w:rPr>
          <w:rFonts w:ascii="Cambria Math" w:hAnsi="Cambria Math"/>
          <w:i/>
          <w:iCs/>
          <w:color w:val="000000" w:themeColor="text1"/>
        </w:rPr>
        <w:t>–</w:t>
      </w:r>
      <w:r>
        <w:rPr>
          <w:rFonts w:ascii="Cambria Math" w:hAnsi="Cambria Math"/>
          <w:i/>
          <w:iCs/>
          <w:color w:val="000000" w:themeColor="text1"/>
        </w:rPr>
        <w:t xml:space="preserve"> Taxa Média de Erros</w:t>
      </w:r>
    </w:p>
    <w:p w14:paraId="392F59FB" w14:textId="127DE09C" w:rsidR="00C5766D" w:rsidRPr="0018615A" w:rsidRDefault="00C5766D" w:rsidP="00F01ED6">
      <w:pPr>
        <w:pStyle w:val="ProductList-Body"/>
        <w:rPr>
          <w:b/>
          <w:bCs/>
          <w:color w:val="00188F"/>
        </w:rPr>
      </w:pPr>
      <w:r>
        <w:rPr>
          <w:b/>
          <w:bCs/>
          <w:color w:val="00188F"/>
        </w:rPr>
        <w:t>Os seguintes Níveis de Serviço e Créditos de Serviço são aplicáveis à utilização que o Cliente faz da API dos planos de dados das Informações de Série Temporais: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F01ED6">
            <w:pPr>
              <w:pStyle w:val="ProductList-OfferingBody"/>
              <w:jc w:val="center"/>
              <w:rPr>
                <w:color w:val="FFFFFF" w:themeColor="background1"/>
              </w:rPr>
            </w:pPr>
            <w:r>
              <w:rPr>
                <w:color w:val="FFFFFF" w:themeColor="background1"/>
              </w:rPr>
              <w:t>Percentagem de Disponibilidade</w:t>
            </w:r>
          </w:p>
        </w:tc>
        <w:tc>
          <w:tcPr>
            <w:tcW w:w="5400" w:type="dxa"/>
            <w:shd w:val="clear" w:color="auto" w:fill="0072C6"/>
          </w:tcPr>
          <w:p w14:paraId="21B30544" w14:textId="77777777" w:rsidR="00DB1B7E" w:rsidRPr="00EF7CF9" w:rsidRDefault="00DB1B7E" w:rsidP="00F01ED6">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277097">
        <w:tc>
          <w:tcPr>
            <w:tcW w:w="5400" w:type="dxa"/>
          </w:tcPr>
          <w:p w14:paraId="33E3F2BA" w14:textId="5738DC56" w:rsidR="00DB1B7E" w:rsidRPr="00EF7CF9" w:rsidRDefault="00DB1B7E" w:rsidP="00F01ED6">
            <w:pPr>
              <w:pStyle w:val="ProductList-OfferingBody"/>
              <w:jc w:val="center"/>
            </w:pPr>
            <w:r>
              <w:t>&lt; 99,9%</w:t>
            </w:r>
          </w:p>
        </w:tc>
        <w:tc>
          <w:tcPr>
            <w:tcW w:w="5400" w:type="dxa"/>
          </w:tcPr>
          <w:p w14:paraId="4AE3A834" w14:textId="77777777" w:rsidR="00DB1B7E" w:rsidRPr="00EF7CF9" w:rsidRDefault="00DB1B7E" w:rsidP="00F01ED6">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F01ED6">
            <w:pPr>
              <w:pStyle w:val="ProductList-OfferingBody"/>
              <w:jc w:val="center"/>
            </w:pPr>
            <w:r>
              <w:t>&lt; 99%</w:t>
            </w:r>
          </w:p>
        </w:tc>
        <w:tc>
          <w:tcPr>
            <w:tcW w:w="5400" w:type="dxa"/>
          </w:tcPr>
          <w:p w14:paraId="12E881A2" w14:textId="77777777" w:rsidR="00DB1B7E" w:rsidRPr="00EF7CF9" w:rsidRDefault="00DB1B7E" w:rsidP="00F01ED6">
            <w:pPr>
              <w:pStyle w:val="ProductList-OfferingBody"/>
              <w:jc w:val="center"/>
            </w:pPr>
            <w:r>
              <w:t>25%</w:t>
            </w:r>
          </w:p>
        </w:tc>
      </w:tr>
    </w:tbl>
    <w:bookmarkStart w:id="404" w:name="_Toc412532214"/>
    <w:bookmarkStart w:id="405" w:name="_Toc457821585"/>
    <w:bookmarkStart w:id="406" w:name="_Toc52348993"/>
    <w:p w14:paraId="1BC5BAB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A7309B1" w14:textId="77777777" w:rsidR="00A42102" w:rsidRDefault="00A42102">
      <w:pPr>
        <w:rPr>
          <w:rFonts w:asciiTheme="majorHAnsi" w:hAnsiTheme="majorHAnsi"/>
          <w:b/>
          <w:color w:val="0072C6"/>
          <w:sz w:val="28"/>
        </w:rPr>
      </w:pPr>
      <w:r>
        <w:br w:type="page"/>
      </w:r>
    </w:p>
    <w:p w14:paraId="55175CE1" w14:textId="5949ACB2" w:rsidR="00895748" w:rsidRPr="00EF7CF9" w:rsidRDefault="00895748" w:rsidP="00F01ED6">
      <w:pPr>
        <w:pStyle w:val="ProductList-Offering2Heading"/>
        <w:tabs>
          <w:tab w:val="clear" w:pos="360"/>
          <w:tab w:val="clear" w:pos="720"/>
          <w:tab w:val="clear" w:pos="1080"/>
        </w:tabs>
        <w:outlineLvl w:val="2"/>
      </w:pPr>
      <w:bookmarkStart w:id="407" w:name="_Toc214456879"/>
      <w:r>
        <w:lastRenderedPageBreak/>
        <w:t>Serviço de Gestor de Tráfego</w:t>
      </w:r>
      <w:bookmarkEnd w:id="404"/>
      <w:bookmarkEnd w:id="405"/>
      <w:bookmarkEnd w:id="406"/>
      <w:bookmarkEnd w:id="407"/>
    </w:p>
    <w:p w14:paraId="7C53001F" w14:textId="77777777" w:rsidR="00895748" w:rsidRPr="00EF7CF9" w:rsidRDefault="00895748" w:rsidP="00F01ED6">
      <w:pPr>
        <w:pStyle w:val="ProductList-Body"/>
      </w:pPr>
      <w:r>
        <w:rPr>
          <w:b/>
          <w:color w:val="00188F"/>
        </w:rPr>
        <w:t>Definições Adicionais</w:t>
      </w:r>
      <w:r w:rsidRPr="00473DD3">
        <w:rPr>
          <w:b/>
          <w:color w:val="00188F"/>
        </w:rPr>
        <w:t>:</w:t>
      </w:r>
    </w:p>
    <w:p w14:paraId="1738A40B" w14:textId="6F659FA8" w:rsidR="00895748" w:rsidRPr="00EF7CF9" w:rsidRDefault="00380305" w:rsidP="0029252C">
      <w:pPr>
        <w:pStyle w:val="ProductList-Body"/>
      </w:pPr>
      <w:r>
        <w:t>“</w:t>
      </w:r>
      <w:r w:rsidR="00895748">
        <w:rPr>
          <w:b/>
          <w:color w:val="00188F"/>
        </w:rPr>
        <w:t>Minutos de Implementação</w:t>
      </w:r>
      <w:r>
        <w:t>”</w:t>
      </w:r>
      <w:r w:rsidR="00895748">
        <w:t xml:space="preserve"> designa o número total de minutos durante os quais um determinado Perfil do Gestor de Tráfego esteve implementado no Microsoft Azure durante um Período Aplicável.</w:t>
      </w:r>
    </w:p>
    <w:p w14:paraId="72F9FA5B" w14:textId="3AD44BB7" w:rsidR="00895748" w:rsidRPr="00EF7CF9" w:rsidRDefault="00380305" w:rsidP="0029252C">
      <w:pPr>
        <w:pStyle w:val="ProductList-Body"/>
      </w:pPr>
      <w:r>
        <w:t>“</w:t>
      </w:r>
      <w:r w:rsidR="00895748">
        <w:rPr>
          <w:b/>
          <w:color w:val="00188F"/>
        </w:rPr>
        <w:t>Máximo de Minutos Disponíveis</w:t>
      </w:r>
      <w:r>
        <w:t>”</w:t>
      </w:r>
      <w:r w:rsidR="00895748">
        <w:t xml:space="preserve"> designa a soma de todos os Minutos de Implementação em todos os Perfis do Gestor de Tráfego implementados pelo Cliente numa determinada subscrição do Microsoft Azure durante um Período Aplicável.</w:t>
      </w:r>
    </w:p>
    <w:p w14:paraId="7B067662" w14:textId="2B9534E1" w:rsidR="00895748" w:rsidRPr="00EF7CF9" w:rsidRDefault="00380305" w:rsidP="0029252C">
      <w:pPr>
        <w:pStyle w:val="ProductList-Body"/>
      </w:pPr>
      <w:r>
        <w:t>“</w:t>
      </w:r>
      <w:r w:rsidR="00895748">
        <w:rPr>
          <w:b/>
          <w:color w:val="00188F"/>
        </w:rPr>
        <w:t>Perfil do Gestor de Tráfego</w:t>
      </w:r>
      <w:r>
        <w:t>”</w:t>
      </w:r>
      <w:r w:rsidR="00895748">
        <w:t xml:space="preserve"> ou </w:t>
      </w:r>
      <w:r>
        <w:t>“</w:t>
      </w:r>
      <w:r w:rsidR="00895748">
        <w:rPr>
          <w:b/>
          <w:color w:val="00188F"/>
        </w:rPr>
        <w:t>Perfil</w:t>
      </w:r>
      <w:r>
        <w:t>”</w:t>
      </w:r>
      <w:r w:rsidR="00895748">
        <w:t xml:space="preserve"> designa uma implementação do Serviço de Gestor de Tráfego criada pelo Cliente que contém um nome de domínio, pontos finais e outras definições de configuração, tal como representado no Portal de Gestão.</w:t>
      </w:r>
    </w:p>
    <w:p w14:paraId="41F87B39" w14:textId="0945A18C" w:rsidR="00895748" w:rsidRPr="00EF7CF9" w:rsidRDefault="00380305" w:rsidP="0029252C">
      <w:pPr>
        <w:pStyle w:val="ProductList-Body"/>
      </w:pPr>
      <w:r>
        <w:t>“</w:t>
      </w:r>
      <w:r w:rsidR="00895748">
        <w:rPr>
          <w:b/>
          <w:color w:val="00188F"/>
        </w:rPr>
        <w:t>Resposta de DNS Válida</w:t>
      </w:r>
      <w:r>
        <w:t>”</w:t>
      </w:r>
      <w:r w:rsidR="00895748">
        <w:t xml:space="preserve"> designa uma resposta de DNS, recebida de pelo menos um dos clusters de servidores de nomes do Serviço Gestor de</w:t>
      </w:r>
      <w:r w:rsidR="0043464F">
        <w:t> </w:t>
      </w:r>
      <w:r w:rsidR="00895748">
        <w:t>Tráfego, para um pedido de DNS para nome de domínio especificado num determinado Perfil do Gestor de Tráfego.</w:t>
      </w:r>
    </w:p>
    <w:p w14:paraId="749C09A7" w14:textId="77777777" w:rsidR="00895748" w:rsidRPr="00EF7CF9" w:rsidRDefault="00895748" w:rsidP="0029252C">
      <w:pPr>
        <w:pStyle w:val="ProductList-Body"/>
      </w:pPr>
      <w:r>
        <w:rPr>
          <w:b/>
          <w:color w:val="00188F"/>
        </w:rPr>
        <w:t>Período de Indisponibilidade</w:t>
      </w:r>
      <w:r w:rsidRPr="00473DD3">
        <w:rPr>
          <w:b/>
          <w:color w:val="00188F"/>
        </w:rPr>
        <w:t>:</w:t>
      </w:r>
      <w:r>
        <w:t xml:space="preserve"> O total de Minutos de Implementação acumulados, em todos os Perfis implementados pelo Cliente numa determinada subscrição do Microsoft Azure, no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13F3A862" w14:textId="5F0A748A" w:rsidR="0089574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58F6251" w14:textId="797F4A29" w:rsidR="00895748" w:rsidRPr="00EF7CF9" w:rsidRDefault="00000000" w:rsidP="0029252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8BB5F11" w14:textId="77777777" w:rsidR="00895748" w:rsidRPr="00EF7CF9" w:rsidRDefault="00895748"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3D4B45" w14:textId="77777777" w:rsidR="00895748" w:rsidRPr="00EF7CF9" w:rsidRDefault="00895748" w:rsidP="00F01ED6">
            <w:pPr>
              <w:pStyle w:val="ProductList-OfferingBody"/>
              <w:jc w:val="center"/>
              <w:rPr>
                <w:color w:val="FFFFFF" w:themeColor="background1"/>
              </w:rPr>
            </w:pPr>
            <w:r>
              <w:rPr>
                <w:color w:val="FFFFFF" w:themeColor="background1"/>
              </w:rPr>
              <w:t>Crédito de Serviço</w:t>
            </w:r>
          </w:p>
        </w:tc>
      </w:tr>
      <w:tr w:rsidR="0029252C" w:rsidRPr="00B44CF9" w14:paraId="50434ED4" w14:textId="77777777" w:rsidTr="00277097">
        <w:tc>
          <w:tcPr>
            <w:tcW w:w="5400" w:type="dxa"/>
          </w:tcPr>
          <w:p w14:paraId="3B26DD2B" w14:textId="2BAFAD1B" w:rsidR="0029252C" w:rsidRDefault="0029252C" w:rsidP="0029252C">
            <w:pPr>
              <w:pStyle w:val="ProductList-OfferingBody"/>
              <w:jc w:val="center"/>
            </w:pPr>
            <w:r>
              <w:t>&lt; 100%</w:t>
            </w:r>
          </w:p>
        </w:tc>
        <w:tc>
          <w:tcPr>
            <w:tcW w:w="5400" w:type="dxa"/>
          </w:tcPr>
          <w:p w14:paraId="5CFF7BF5" w14:textId="24103056" w:rsidR="0029252C" w:rsidRDefault="0029252C" w:rsidP="0029252C">
            <w:pPr>
              <w:pStyle w:val="ProductList-OfferingBody"/>
              <w:jc w:val="center"/>
            </w:pPr>
            <w:r>
              <w:t>10%</w:t>
            </w:r>
          </w:p>
        </w:tc>
      </w:tr>
      <w:tr w:rsidR="0029252C" w:rsidRPr="00B44CF9" w14:paraId="03E16A40" w14:textId="77777777" w:rsidTr="00277097">
        <w:tc>
          <w:tcPr>
            <w:tcW w:w="5400" w:type="dxa"/>
          </w:tcPr>
          <w:p w14:paraId="1AA31257" w14:textId="77777777" w:rsidR="0029252C" w:rsidRPr="00EF7CF9" w:rsidRDefault="0029252C" w:rsidP="0029252C">
            <w:pPr>
              <w:pStyle w:val="ProductList-OfferingBody"/>
              <w:jc w:val="center"/>
            </w:pPr>
            <w:r>
              <w:t>&lt; 99,99%</w:t>
            </w:r>
          </w:p>
        </w:tc>
        <w:tc>
          <w:tcPr>
            <w:tcW w:w="5400" w:type="dxa"/>
          </w:tcPr>
          <w:p w14:paraId="7D035504" w14:textId="54EEA63B" w:rsidR="0029252C" w:rsidRPr="00EF7CF9" w:rsidRDefault="0029252C" w:rsidP="0029252C">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F01ED6">
            <w:pPr>
              <w:pStyle w:val="ProductList-OfferingBody"/>
              <w:jc w:val="center"/>
            </w:pPr>
            <w:r>
              <w:t>&lt; 99%</w:t>
            </w:r>
          </w:p>
        </w:tc>
        <w:tc>
          <w:tcPr>
            <w:tcW w:w="5400" w:type="dxa"/>
          </w:tcPr>
          <w:p w14:paraId="4E874CB9" w14:textId="107FEC25" w:rsidR="00895748" w:rsidRPr="00EF7CF9" w:rsidRDefault="0029252C" w:rsidP="00F01ED6">
            <w:pPr>
              <w:pStyle w:val="ProductList-OfferingBody"/>
              <w:jc w:val="center"/>
            </w:pPr>
            <w:r>
              <w:t>100</w:t>
            </w:r>
            <w:r w:rsidR="00895748">
              <w:t>%</w:t>
            </w:r>
          </w:p>
        </w:tc>
      </w:tr>
    </w:tbl>
    <w:bookmarkStart w:id="408" w:name="_Toc412532215"/>
    <w:bookmarkStart w:id="409" w:name="_Toc457821586"/>
    <w:bookmarkStart w:id="410" w:name="VirtualMachines"/>
    <w:bookmarkStart w:id="411" w:name="_Toc52348994"/>
    <w:p w14:paraId="27CB2D9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A517EC" w14:textId="77777777" w:rsidR="00A25735" w:rsidRPr="00A25735" w:rsidRDefault="00A25735" w:rsidP="00A25735">
      <w:pPr>
        <w:pStyle w:val="ProductList-Offering2Heading"/>
        <w:tabs>
          <w:tab w:val="clear" w:pos="360"/>
          <w:tab w:val="clear" w:pos="720"/>
          <w:tab w:val="clear" w:pos="1080"/>
        </w:tabs>
        <w:outlineLvl w:val="2"/>
      </w:pPr>
      <w:bookmarkStart w:id="412" w:name="_Toc214456880"/>
      <w:r w:rsidRPr="00A25735">
        <w:t>Assinatura Fidedigna</w:t>
      </w:r>
      <w:bookmarkEnd w:id="412"/>
    </w:p>
    <w:p w14:paraId="2193A17C"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Definições Adicionais</w:t>
      </w:r>
      <w:r>
        <w:rPr>
          <w:rFonts w:ascii="Calibri" w:eastAsia="Times New Roman" w:hAnsi="Calibri" w:cs="Calibri"/>
          <w:sz w:val="18"/>
          <w:szCs w:val="18"/>
        </w:rPr>
        <w:t>: </w:t>
      </w:r>
    </w:p>
    <w:p w14:paraId="37A6E957"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Total de Tentativas de Transação</w:t>
      </w:r>
      <w:r>
        <w:rPr>
          <w:rFonts w:ascii="Calibri" w:eastAsia="Times New Roman" w:hAnsi="Calibri" w:cs="Calibri"/>
          <w:sz w:val="18"/>
          <w:szCs w:val="18"/>
        </w:rPr>
        <w:t>” é o número total de pedidos de assinatura de API autenticados efetuado pelo Cliente durante um Período Aplicável para uma determinada subscrição do Microsoft Azure.</w:t>
      </w:r>
    </w:p>
    <w:p w14:paraId="19527989"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Transações com Falha</w:t>
      </w:r>
      <w:r>
        <w:rPr>
          <w:rFonts w:ascii="Calibri" w:eastAsia="Times New Roman" w:hAnsi="Calibri" w:cs="Calibri"/>
          <w:sz w:val="18"/>
          <w:szCs w:val="18"/>
        </w:rPr>
        <w:t>” é o conjunto de todos os pedidos de assinatura de API autenticada no Total de Tentativas de Transação que devolvem um código de estado HTTP 5xx ou uma falha ao devolver um Código de Êxito num prazo de 90 segundos.</w:t>
      </w:r>
    </w:p>
    <w:p w14:paraId="0C0D48D3" w14:textId="77777777" w:rsidR="00A25735" w:rsidRDefault="00A25735" w:rsidP="00A2573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Percentagem de Período de Disponibilidade</w:t>
      </w:r>
      <w:r>
        <w:rPr>
          <w:rFonts w:ascii="Calibri" w:eastAsia="Times New Roman" w:hAnsi="Calibri" w:cs="Calibri"/>
          <w:sz w:val="18"/>
          <w:szCs w:val="18"/>
        </w:rPr>
        <w:t>: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 </w:t>
      </w:r>
    </w:p>
    <w:p w14:paraId="0D069D7B" w14:textId="77777777" w:rsidR="00A25735" w:rsidRPr="00A47C2A" w:rsidRDefault="00000000" w:rsidP="00A25735">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de Tentativas de Transação - Transações com Falha</m:t>
              </m:r>
            </m:num>
            <m:den>
              <m:r>
                <m:rPr>
                  <m:nor/>
                </m:rPr>
                <w:rPr>
                  <w:rFonts w:ascii="Cambria Math" w:eastAsia="Times New Roman" w:hAnsi="Cambria Math" w:cs="Calibri"/>
                  <w:i/>
                  <w:iCs/>
                  <w:sz w:val="18"/>
                  <w:szCs w:val="18"/>
                </w:rPr>
                <m:t>Total de Tentativas de Transação</m:t>
              </m:r>
            </m:den>
          </m:f>
          <m:r>
            <w:rPr>
              <w:rFonts w:ascii="Cambria Math" w:hAnsi="Cambria Math"/>
              <w:sz w:val="18"/>
              <w:szCs w:val="18"/>
            </w:rPr>
            <m:t xml:space="preserve"> x 100</m:t>
          </m:r>
        </m:oMath>
      </m:oMathPara>
    </w:p>
    <w:p w14:paraId="51D4276A" w14:textId="77777777" w:rsidR="00A25735" w:rsidRDefault="00A25735" w:rsidP="00A25735">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Os seguintes Níveis de Serviço e Créditos de Serviço são aplicáveis à utilização que o Cliente faz da Assinatura Fidedigna.</w:t>
      </w:r>
    </w:p>
    <w:p w14:paraId="301E0689"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Crédito de Serviço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735" w:rsidRPr="003D5054" w14:paraId="095EF4A5" w14:textId="77777777" w:rsidTr="00CE6437">
        <w:trPr>
          <w:tblHeader/>
        </w:trPr>
        <w:tc>
          <w:tcPr>
            <w:tcW w:w="5400" w:type="dxa"/>
            <w:shd w:val="clear" w:color="auto" w:fill="0072C6"/>
          </w:tcPr>
          <w:p w14:paraId="0AED7144" w14:textId="77777777" w:rsidR="00A25735" w:rsidRPr="003D5054" w:rsidRDefault="00A25735"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521EF9B8" w14:textId="77777777" w:rsidR="00A25735" w:rsidRPr="003D5054" w:rsidRDefault="00A25735"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A25735" w:rsidRPr="003D5054" w14:paraId="1F009F52" w14:textId="77777777" w:rsidTr="00CE6437">
        <w:tc>
          <w:tcPr>
            <w:tcW w:w="5400" w:type="dxa"/>
          </w:tcPr>
          <w:p w14:paraId="1ADC0787" w14:textId="77777777" w:rsidR="00A25735" w:rsidRPr="003D5054" w:rsidRDefault="00A25735"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0619989E" w14:textId="77777777" w:rsidR="00A25735" w:rsidRPr="003D5054" w:rsidRDefault="00A25735"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A25735" w:rsidRPr="003D5054" w14:paraId="04E2297E" w14:textId="77777777" w:rsidTr="00CE6437">
        <w:tc>
          <w:tcPr>
            <w:tcW w:w="5400" w:type="dxa"/>
          </w:tcPr>
          <w:p w14:paraId="75ECCFEC" w14:textId="77777777" w:rsidR="00A25735" w:rsidRPr="003D5054" w:rsidRDefault="00A25735"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18F18759" w14:textId="77777777" w:rsidR="00A25735" w:rsidRPr="003D5054" w:rsidRDefault="00A25735" w:rsidP="00CE6437">
            <w:pPr>
              <w:pStyle w:val="ProductList-OfferingBody"/>
              <w:jc w:val="center"/>
              <w:rPr>
                <w:rFonts w:ascii="Calibri" w:hAnsi="Calibri" w:cs="Calibri"/>
                <w:szCs w:val="16"/>
              </w:rPr>
            </w:pPr>
            <w:r>
              <w:rPr>
                <w:rFonts w:ascii="Calibri" w:hAnsi="Calibri" w:cs="Calibri"/>
                <w:szCs w:val="16"/>
              </w:rPr>
              <w:t>25%</w:t>
            </w:r>
          </w:p>
        </w:tc>
      </w:tr>
    </w:tbl>
    <w:p w14:paraId="15658198" w14:textId="77777777" w:rsidR="00A25735" w:rsidRPr="00EF7CF9" w:rsidRDefault="00A25735" w:rsidP="00A257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E6F79CE" w14:textId="2094278B" w:rsidR="00895748" w:rsidRPr="00EF7CF9" w:rsidRDefault="00895748" w:rsidP="00547ECC">
      <w:pPr>
        <w:pStyle w:val="ProductList-Offering2Heading"/>
        <w:tabs>
          <w:tab w:val="clear" w:pos="360"/>
          <w:tab w:val="clear" w:pos="720"/>
          <w:tab w:val="clear" w:pos="1080"/>
        </w:tabs>
        <w:outlineLvl w:val="2"/>
      </w:pPr>
      <w:bookmarkStart w:id="413" w:name="_Toc214456881"/>
      <w:r>
        <w:t>Máquinas Virtuais</w:t>
      </w:r>
      <w:bookmarkEnd w:id="408"/>
      <w:bookmarkEnd w:id="409"/>
      <w:bookmarkEnd w:id="410"/>
      <w:bookmarkEnd w:id="411"/>
      <w:bookmarkEnd w:id="413"/>
    </w:p>
    <w:p w14:paraId="15A0C13C" w14:textId="77777777" w:rsidR="00895748" w:rsidRPr="00EF7CF9" w:rsidRDefault="00895748" w:rsidP="00F01ED6">
      <w:pPr>
        <w:pStyle w:val="ProductList-Body"/>
      </w:pPr>
      <w:r>
        <w:rPr>
          <w:b/>
          <w:color w:val="00188F"/>
        </w:rPr>
        <w:t>Definições Adicionais</w:t>
      </w:r>
      <w:r w:rsidRPr="00473DD3">
        <w:rPr>
          <w:b/>
          <w:color w:val="00188F"/>
        </w:rPr>
        <w:t>:</w:t>
      </w:r>
    </w:p>
    <w:p w14:paraId="18B3CD85"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Conjunto de Disponibilidade</w:t>
      </w:r>
      <w:r w:rsidRPr="00CE37D2">
        <w:rPr>
          <w:rFonts w:ascii="Calibri" w:hAnsi="Calibri" w:cs="Calibri"/>
        </w:rPr>
        <w:t>” designa duas ou mais Máquinas Virtuais implementadas em diferentes Domínios com Erro para evitar um único ponto de falha.</w:t>
      </w:r>
    </w:p>
    <w:p w14:paraId="44E0388A"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Zona de Disponibilidade</w:t>
      </w:r>
      <w:r w:rsidRPr="00CE37D2">
        <w:rPr>
          <w:rFonts w:ascii="Calibri" w:hAnsi="Calibri" w:cs="Calibri"/>
        </w:rPr>
        <w:t>” designa uma área isolada de falhas numa região do Azure que providencia alimentação, refrigeração e rede redundantes.</w:t>
      </w:r>
    </w:p>
    <w:p w14:paraId="68E5DC13" w14:textId="77777777" w:rsidR="00264BC1" w:rsidRPr="00CE37D2" w:rsidRDefault="00264BC1" w:rsidP="00264BC1">
      <w:pPr>
        <w:pStyle w:val="ProductList-Body"/>
        <w:rPr>
          <w:rFonts w:ascii="Calibri" w:hAnsi="Calibri" w:cs="Calibri"/>
        </w:rPr>
      </w:pPr>
      <w:r w:rsidRPr="00CE37D2">
        <w:rPr>
          <w:rFonts w:ascii="Calibri" w:hAnsi="Calibri" w:cs="Calibri"/>
        </w:rPr>
        <w:t xml:space="preserve">O </w:t>
      </w:r>
      <w:r w:rsidRPr="00CE37D2">
        <w:rPr>
          <w:rFonts w:ascii="Calibri" w:hAnsi="Calibri" w:cs="Calibri"/>
          <w:color w:val="00188F"/>
        </w:rPr>
        <w:t>“</w:t>
      </w:r>
      <w:r w:rsidRPr="00CE37D2">
        <w:rPr>
          <w:rFonts w:ascii="Calibri" w:hAnsi="Calibri" w:cs="Calibri"/>
          <w:b/>
          <w:bCs/>
          <w:color w:val="00188F"/>
        </w:rPr>
        <w:t>Azure Dedicated Host</w:t>
      </w:r>
      <w:r w:rsidRPr="00CE37D2">
        <w:rPr>
          <w:rFonts w:ascii="Calibri" w:hAnsi="Calibri" w:cs="Calibri"/>
          <w:color w:val="00188F"/>
        </w:rPr>
        <w:t>”</w:t>
      </w:r>
      <w:r w:rsidRPr="00CE37D2">
        <w:rPr>
          <w:rFonts w:ascii="Calibri" w:hAnsi="Calibri" w:cs="Calibri"/>
        </w:rPr>
        <w:t xml:space="preserve"> fornece aos servidores físicos que alojam uma ou mais máquinas virtuais do Azure a definição (predefinida) de autoReplaceOnFailure necessária para qualquer SLA.</w:t>
      </w:r>
    </w:p>
    <w:p w14:paraId="5538ABDA"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Disco de Dados</w:t>
      </w:r>
      <w:r w:rsidRPr="00CE37D2">
        <w:rPr>
          <w:rFonts w:ascii="Calibri" w:hAnsi="Calibri" w:cs="Calibri"/>
        </w:rPr>
        <w:t>” é um disco rígido virtual persistente, exposto a uma Máquina Virtual, utilizado para armazenar os dados da aplicação.</w:t>
      </w:r>
    </w:p>
    <w:p w14:paraId="7A25BA0F" w14:textId="77777777" w:rsidR="00264BC1" w:rsidRPr="00CE37D2" w:rsidRDefault="00264BC1" w:rsidP="00264BC1">
      <w:pPr>
        <w:pStyle w:val="ProductList-Body"/>
        <w:rPr>
          <w:rFonts w:ascii="Calibri" w:hAnsi="Calibri" w:cs="Calibri"/>
        </w:rPr>
      </w:pPr>
      <w:r w:rsidRPr="00CE37D2">
        <w:rPr>
          <w:rFonts w:ascii="Calibri" w:hAnsi="Calibri" w:cs="Calibri"/>
          <w:color w:val="00188F"/>
        </w:rPr>
        <w:lastRenderedPageBreak/>
        <w:t>“</w:t>
      </w:r>
      <w:r w:rsidRPr="00CE37D2">
        <w:rPr>
          <w:rFonts w:ascii="Calibri" w:hAnsi="Calibri" w:cs="Calibri"/>
          <w:b/>
          <w:bCs/>
          <w:color w:val="00188F"/>
        </w:rPr>
        <w:t>Grupo de Dedicated Hosts</w:t>
      </w:r>
      <w:r w:rsidRPr="00CE37D2">
        <w:rPr>
          <w:rFonts w:ascii="Calibri" w:hAnsi="Calibri" w:cs="Calibri"/>
          <w:color w:val="00188F"/>
        </w:rPr>
        <w:t>”</w:t>
      </w:r>
      <w:r w:rsidRPr="00CE37D2">
        <w:rPr>
          <w:rFonts w:ascii="Calibri" w:hAnsi="Calibri" w:cs="Calibri"/>
        </w:rPr>
        <w:t xml:space="preserve"> é uma coleção de Azure Dedicated Hosts implementados na região do Azure em diferentes Domínios de Falha para evitar um ponto único de falha.</w:t>
      </w:r>
    </w:p>
    <w:p w14:paraId="145FD8EC"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Domínio com Erro</w:t>
      </w:r>
      <w:r w:rsidRPr="00CE37D2">
        <w:rPr>
          <w:rFonts w:ascii="Calibri" w:hAnsi="Calibri" w:cs="Calibri"/>
        </w:rPr>
        <w:t>” é um conjunto de servidores que partilham recursos comuns como a alimentação e conectividade da rede.</w:t>
      </w:r>
    </w:p>
    <w:p w14:paraId="3C1198CC" w14:textId="77777777" w:rsidR="00264BC1" w:rsidRPr="00CE37D2" w:rsidRDefault="00264BC1" w:rsidP="00264BC1">
      <w:pPr>
        <w:pStyle w:val="ProductList-Body"/>
        <w:rPr>
          <w:rFonts w:ascii="Calibri" w:hAnsi="Calibri" w:cs="Calibri"/>
        </w:rPr>
      </w:pPr>
      <w:r w:rsidRPr="00CE37D2">
        <w:rPr>
          <w:rFonts w:ascii="Calibri" w:hAnsi="Calibri" w:cs="Calibri"/>
        </w:rPr>
        <w:t>O “</w:t>
      </w:r>
      <w:r w:rsidRPr="00CE37D2">
        <w:rPr>
          <w:rFonts w:ascii="Calibri" w:hAnsi="Calibri" w:cs="Calibri"/>
          <w:b/>
          <w:color w:val="00188F"/>
        </w:rPr>
        <w:t>Disco do Sistema Operativo</w:t>
      </w:r>
      <w:r w:rsidRPr="00CE37D2">
        <w:rPr>
          <w:rFonts w:ascii="Calibri" w:hAnsi="Calibri" w:cs="Calibri"/>
        </w:rPr>
        <w:t>” é um disco rígido virtual persistente, exposto a uma Máquina Virtual, utilizado para armazenar o sistema operativo da Máquina Virtual.</w:t>
      </w:r>
    </w:p>
    <w:p w14:paraId="0A1F9365"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D95212">
        <w:rPr>
          <w:rFonts w:ascii="Calibri" w:hAnsi="Calibri" w:cs="Calibri"/>
          <w:b/>
          <w:color w:val="00188F"/>
        </w:rPr>
        <w:t>Disco Partilhado</w:t>
      </w:r>
      <w:r w:rsidRPr="00CE37D2">
        <w:rPr>
          <w:rFonts w:ascii="Calibri" w:hAnsi="Calibri" w:cs="Calibri"/>
        </w:rPr>
        <w:t>” é um Disco de Dados ligado a várias Máquinas Virtuais em simultâneo.</w:t>
      </w:r>
    </w:p>
    <w:p w14:paraId="78662F87"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Máquina Virtual de Instância Única</w:t>
      </w:r>
      <w:r w:rsidRPr="00CE37D2">
        <w:rPr>
          <w:rFonts w:ascii="Calibri" w:hAnsi="Calibri" w:cs="Calibri"/>
        </w:rPr>
        <w:t xml:space="preserve">” é definida como qualquer Máquina Virtual do Microsoft Azure única que não está implementada num Conjunto de Disponibilidade ou que tem uma instância implementada num Conjunto de Disponibilidade. </w:t>
      </w:r>
    </w:p>
    <w:p w14:paraId="033A43D6"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Máquina Virtual</w:t>
      </w:r>
      <w:r w:rsidRPr="00CE37D2">
        <w:rPr>
          <w:rFonts w:ascii="Calibri" w:hAnsi="Calibri" w:cs="Calibri"/>
        </w:rPr>
        <w:t xml:space="preserve">” designa os tipos de instância persistentes que podem ser implementados individualmente ou como parte de um Conjunto de Disponibilidade ou utilizar um Grupo de Dedicated Hosts. Uma máquina virtual pode ser implementada num ambiente multi-inquilino no Azure ou num ambiente de inquilino único isolado através de Azure Dedicated Hosts. </w:t>
      </w:r>
    </w:p>
    <w:p w14:paraId="6D490A88"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Conectividade da Máquina Virtual</w:t>
      </w:r>
      <w:r w:rsidRPr="00CE37D2">
        <w:rPr>
          <w:rFonts w:ascii="Calibri" w:hAnsi="Calibri" w:cs="Calibri"/>
        </w:rPr>
        <w:t>”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2626008A" w14:textId="77777777" w:rsidR="00264BC1" w:rsidRPr="00CE37D2" w:rsidRDefault="00264BC1" w:rsidP="00264BC1">
      <w:pPr>
        <w:pStyle w:val="ProductList-Body"/>
        <w:rPr>
          <w:rFonts w:ascii="Calibri" w:hAnsi="Calibri" w:cs="Calibri"/>
          <w:b/>
          <w:color w:val="00188F"/>
        </w:rPr>
      </w:pPr>
      <w:r w:rsidRPr="00CE37D2">
        <w:rPr>
          <w:rFonts w:ascii="Calibri" w:hAnsi="Calibri" w:cs="Calibri"/>
          <w:b/>
          <w:color w:val="00188F"/>
        </w:rPr>
        <w:t>Cálculo do Período de Disponibilidade e Níveis de Serviço para as Máquinas Virtuais em Zonas de Disponibilidade</w:t>
      </w:r>
    </w:p>
    <w:p w14:paraId="1AEF85BA" w14:textId="77777777" w:rsidR="00264BC1" w:rsidRPr="002F17AD" w:rsidRDefault="00264BC1" w:rsidP="00264BC1">
      <w:pPr>
        <w:pStyle w:val="ProductList-Body"/>
        <w:ind w:left="360"/>
        <w:rPr>
          <w:rFonts w:ascii="Calibri" w:hAnsi="Calibri" w:cs="Calibri"/>
        </w:rPr>
      </w:pPr>
      <w:r w:rsidRPr="002F17AD">
        <w:rPr>
          <w:rFonts w:ascii="Calibri" w:hAnsi="Calibri" w:cs="Calibri"/>
        </w:rPr>
        <w:t>“</w:t>
      </w:r>
      <w:r w:rsidRPr="002F17AD">
        <w:rPr>
          <w:rFonts w:ascii="Calibri" w:hAnsi="Calibri" w:cs="Calibri"/>
          <w:b/>
          <w:color w:val="0072C6"/>
        </w:rPr>
        <w:t>Máximo de Minutos Disponíveis</w:t>
      </w:r>
      <w:r w:rsidRPr="002F17AD">
        <w:rPr>
          <w:rFonts w:ascii="Calibri" w:hAnsi="Calibri" w:cs="Calibri"/>
        </w:rPr>
        <w:t>” designa o total de minutos acumulados durante um Período Aplicável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71E9F102" w14:textId="77777777" w:rsidR="00264BC1" w:rsidRPr="002F17AD" w:rsidRDefault="00264BC1" w:rsidP="00264BC1">
      <w:pPr>
        <w:pStyle w:val="ProductList-Body"/>
        <w:ind w:left="360"/>
        <w:rPr>
          <w:rFonts w:ascii="Calibri" w:hAnsi="Calibri" w:cs="Calibri"/>
        </w:rPr>
      </w:pPr>
      <w:r w:rsidRPr="002F17AD">
        <w:rPr>
          <w:rFonts w:ascii="Calibri" w:hAnsi="Calibri" w:cs="Calibri"/>
        </w:rPr>
        <w:t>“</w:t>
      </w:r>
      <w:r w:rsidRPr="002F17AD">
        <w:rPr>
          <w:rFonts w:ascii="Calibri" w:hAnsi="Calibri" w:cs="Calibri"/>
          <w:b/>
          <w:color w:val="0072C6"/>
        </w:rPr>
        <w:t>Período de Indisponibilidade</w:t>
      </w:r>
      <w:r w:rsidRPr="002F17AD">
        <w:rPr>
          <w:rFonts w:ascii="Calibri" w:hAnsi="Calibri" w:cs="Calibri"/>
        </w:rPr>
        <w:t>” designa o total de minutos acumulados que fazem parte do Máximo de Minutos Disponíveis sem Conectividade da Máquina Virtual na região.</w:t>
      </w:r>
    </w:p>
    <w:p w14:paraId="36CFBBA9" w14:textId="77777777" w:rsidR="00264BC1" w:rsidRDefault="00264BC1" w:rsidP="00264BC1">
      <w:pPr>
        <w:pStyle w:val="ProductList-Body"/>
        <w:ind w:left="360"/>
        <w:rPr>
          <w:rFonts w:ascii="Calibri" w:hAnsi="Calibri" w:cs="Calibri"/>
        </w:rPr>
      </w:pPr>
      <w:r w:rsidRPr="002F17AD">
        <w:rPr>
          <w:rFonts w:ascii="Calibri" w:hAnsi="Calibri" w:cs="Calibri"/>
        </w:rPr>
        <w:t>A “</w:t>
      </w:r>
      <w:r w:rsidRPr="002F17AD">
        <w:rPr>
          <w:rFonts w:ascii="Calibri" w:hAnsi="Calibri" w:cs="Calibri"/>
          <w:b/>
          <w:color w:val="0072C6"/>
        </w:rPr>
        <w:t>Percentagem de Período de Disponibilidade</w:t>
      </w:r>
      <w:r w:rsidRPr="002F17AD">
        <w:rPr>
          <w:rFonts w:ascii="Calibri" w:hAnsi="Calibri" w:cs="Calibri"/>
        </w:rPr>
        <w:t>” para as Máquinas Virtuais nas Zonas de Disponibilidade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5A5F0574" w14:textId="77777777" w:rsidR="00264BC1" w:rsidRPr="00434BE0" w:rsidRDefault="00264BC1" w:rsidP="00C24FBA">
      <w:pPr>
        <w:pStyle w:val="ListParagraph"/>
        <w:spacing w:before="16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1F013F67" w14:textId="77777777" w:rsidR="00C24FBA" w:rsidRDefault="00C24FBA" w:rsidP="00264BC1">
      <w:pPr>
        <w:pStyle w:val="ProductList-Body"/>
        <w:ind w:left="360"/>
        <w:rPr>
          <w:rFonts w:ascii="Calibri" w:hAnsi="Calibri" w:cs="Calibri"/>
          <w:b/>
          <w:color w:val="0072C6"/>
        </w:rPr>
      </w:pPr>
    </w:p>
    <w:p w14:paraId="0A6122CA" w14:textId="480C6811" w:rsidR="00264BC1" w:rsidRPr="00EC3D00" w:rsidRDefault="00264BC1" w:rsidP="00264BC1">
      <w:pPr>
        <w:pStyle w:val="ProductList-Body"/>
        <w:ind w:left="360"/>
        <w:rPr>
          <w:rFonts w:ascii="Calibri" w:hAnsi="Calibri" w:cs="Calibri"/>
        </w:rPr>
      </w:pPr>
      <w:r>
        <w:rPr>
          <w:rFonts w:ascii="Calibri" w:hAnsi="Calibri" w:cs="Calibri"/>
          <w:b/>
          <w:color w:val="0072C6"/>
        </w:rPr>
        <w:t>Crédito de Serviço</w:t>
      </w:r>
      <w:r w:rsidRPr="00920487">
        <w:rPr>
          <w:rFonts w:ascii="Calibri" w:hAnsi="Calibri" w:cs="Calibri"/>
          <w:b/>
          <w:color w:val="0072C6"/>
        </w:rPr>
        <w:t>:</w:t>
      </w:r>
    </w:p>
    <w:p w14:paraId="4B804539" w14:textId="77777777" w:rsidR="00264BC1" w:rsidRPr="00EC3D00"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implementadas em duas ou 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64BC1" w:rsidRPr="00B44CF9" w14:paraId="537DB4FE" w14:textId="77777777" w:rsidTr="00E50F69">
        <w:trPr>
          <w:tblHeader/>
        </w:trPr>
        <w:tc>
          <w:tcPr>
            <w:tcW w:w="5040" w:type="dxa"/>
            <w:shd w:val="clear" w:color="auto" w:fill="0072C6"/>
          </w:tcPr>
          <w:p w14:paraId="12EC6B22" w14:textId="77777777" w:rsidR="00264BC1" w:rsidRPr="00EC3D00" w:rsidRDefault="00264BC1"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12D6BF83" w14:textId="77777777" w:rsidR="00264BC1" w:rsidRPr="00EC3D00" w:rsidRDefault="00264BC1"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264BC1" w:rsidRPr="00B44CF9" w14:paraId="2A39439F" w14:textId="77777777" w:rsidTr="00E50F69">
        <w:tc>
          <w:tcPr>
            <w:tcW w:w="5040" w:type="dxa"/>
          </w:tcPr>
          <w:p w14:paraId="18955B27" w14:textId="77777777" w:rsidR="00264BC1" w:rsidRPr="00EC3D00" w:rsidRDefault="00264BC1" w:rsidP="00E50F69">
            <w:pPr>
              <w:pStyle w:val="ProductList-OfferingBody"/>
              <w:jc w:val="center"/>
              <w:rPr>
                <w:rFonts w:ascii="Calibri" w:hAnsi="Calibri" w:cs="Calibri"/>
              </w:rPr>
            </w:pPr>
            <w:r>
              <w:rPr>
                <w:rFonts w:ascii="Calibri" w:hAnsi="Calibri" w:cs="Calibri"/>
              </w:rPr>
              <w:t>&lt; 99,99%</w:t>
            </w:r>
          </w:p>
        </w:tc>
        <w:tc>
          <w:tcPr>
            <w:tcW w:w="5400" w:type="dxa"/>
          </w:tcPr>
          <w:p w14:paraId="34D6A9B5" w14:textId="77777777" w:rsidR="00264BC1" w:rsidRPr="00EC3D00" w:rsidRDefault="00264BC1" w:rsidP="00E50F69">
            <w:pPr>
              <w:pStyle w:val="ProductList-OfferingBody"/>
              <w:jc w:val="center"/>
              <w:rPr>
                <w:rFonts w:ascii="Calibri" w:hAnsi="Calibri" w:cs="Calibri"/>
              </w:rPr>
            </w:pPr>
            <w:r>
              <w:rPr>
                <w:rFonts w:ascii="Calibri" w:hAnsi="Calibri" w:cs="Calibri"/>
              </w:rPr>
              <w:t>10%</w:t>
            </w:r>
          </w:p>
        </w:tc>
      </w:tr>
      <w:tr w:rsidR="00264BC1" w:rsidRPr="00B44CF9" w14:paraId="6F2A0BA5" w14:textId="77777777" w:rsidTr="00E50F69">
        <w:tc>
          <w:tcPr>
            <w:tcW w:w="5040" w:type="dxa"/>
          </w:tcPr>
          <w:p w14:paraId="71E3ED72" w14:textId="77777777" w:rsidR="00264BC1" w:rsidRPr="00EC3D00" w:rsidRDefault="00264BC1" w:rsidP="00E50F69">
            <w:pPr>
              <w:pStyle w:val="ProductList-OfferingBody"/>
              <w:jc w:val="center"/>
              <w:rPr>
                <w:rFonts w:ascii="Calibri" w:hAnsi="Calibri" w:cs="Calibri"/>
              </w:rPr>
            </w:pPr>
            <w:r>
              <w:rPr>
                <w:rFonts w:ascii="Calibri" w:hAnsi="Calibri" w:cs="Calibri"/>
              </w:rPr>
              <w:t>&lt; 99%</w:t>
            </w:r>
          </w:p>
        </w:tc>
        <w:tc>
          <w:tcPr>
            <w:tcW w:w="5400" w:type="dxa"/>
          </w:tcPr>
          <w:p w14:paraId="50192194" w14:textId="77777777" w:rsidR="00264BC1" w:rsidRPr="00EC3D00" w:rsidRDefault="00264BC1" w:rsidP="00E50F69">
            <w:pPr>
              <w:pStyle w:val="ProductList-OfferingBody"/>
              <w:jc w:val="center"/>
              <w:rPr>
                <w:rFonts w:ascii="Calibri" w:hAnsi="Calibri" w:cs="Calibri"/>
              </w:rPr>
            </w:pPr>
            <w:r>
              <w:rPr>
                <w:rFonts w:ascii="Calibri" w:hAnsi="Calibri" w:cs="Calibri"/>
              </w:rPr>
              <w:t>25%</w:t>
            </w:r>
          </w:p>
        </w:tc>
      </w:tr>
      <w:tr w:rsidR="00264BC1" w:rsidRPr="00B44CF9" w14:paraId="1B5EDDB1" w14:textId="77777777" w:rsidTr="00E50F69">
        <w:tc>
          <w:tcPr>
            <w:tcW w:w="5040" w:type="dxa"/>
          </w:tcPr>
          <w:p w14:paraId="3B0DB3D3" w14:textId="77777777" w:rsidR="00264BC1" w:rsidRPr="00EC3D00" w:rsidRDefault="00264BC1" w:rsidP="00E50F69">
            <w:pPr>
              <w:pStyle w:val="ProductList-OfferingBody"/>
              <w:jc w:val="center"/>
              <w:rPr>
                <w:rFonts w:ascii="Calibri" w:hAnsi="Calibri" w:cs="Calibri"/>
              </w:rPr>
            </w:pPr>
            <w:r>
              <w:rPr>
                <w:rFonts w:ascii="Calibri" w:hAnsi="Calibri" w:cs="Calibri"/>
              </w:rPr>
              <w:t>&lt; 95%</w:t>
            </w:r>
          </w:p>
        </w:tc>
        <w:tc>
          <w:tcPr>
            <w:tcW w:w="5400" w:type="dxa"/>
          </w:tcPr>
          <w:p w14:paraId="17B87B4C" w14:textId="77777777" w:rsidR="00264BC1" w:rsidRPr="00EC3D00" w:rsidRDefault="00264BC1" w:rsidP="00E50F69">
            <w:pPr>
              <w:pStyle w:val="ProductList-OfferingBody"/>
              <w:jc w:val="center"/>
              <w:rPr>
                <w:rFonts w:ascii="Calibri" w:hAnsi="Calibri" w:cs="Calibri"/>
              </w:rPr>
            </w:pPr>
            <w:r>
              <w:rPr>
                <w:rFonts w:ascii="Calibri" w:hAnsi="Calibri" w:cs="Calibri"/>
              </w:rPr>
              <w:t>100%</w:t>
            </w:r>
          </w:p>
        </w:tc>
      </w:tr>
    </w:tbl>
    <w:p w14:paraId="216B82EE" w14:textId="77777777" w:rsidR="00264BC1" w:rsidRPr="00EC3D00" w:rsidRDefault="00264BC1" w:rsidP="00264BC1">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Máquinas Virtuais num Conjunto de Disponibilidade, ou no mesmo Grupo de Dedicated Hosts</w:t>
      </w:r>
    </w:p>
    <w:p w14:paraId="348A9DB5" w14:textId="77777777" w:rsidR="00264BC1" w:rsidRPr="00EC3D00" w:rsidRDefault="00264BC1" w:rsidP="00264BC1">
      <w:pPr>
        <w:pStyle w:val="ProductList-Body"/>
        <w:ind w:left="360"/>
        <w:rPr>
          <w:rFonts w:ascii="Calibri" w:hAnsi="Calibri" w:cs="Calibri"/>
        </w:rPr>
      </w:pPr>
      <w:r>
        <w:rPr>
          <w:rFonts w:ascii="Calibri" w:hAnsi="Calibri" w:cs="Calibri"/>
          <w:b/>
          <w:color w:val="0070C0"/>
        </w:rPr>
        <w:t>Máximo de Minutos Disponíveis</w:t>
      </w:r>
      <w:r w:rsidRPr="00466CB4">
        <w:rPr>
          <w:rFonts w:ascii="Calibri" w:hAnsi="Calibri" w:cs="Calibri"/>
          <w:b/>
          <w:color w:val="0070C0"/>
        </w:rPr>
        <w:t>:</w:t>
      </w:r>
      <w:r>
        <w:rPr>
          <w:rFonts w:ascii="Calibri" w:hAnsi="Calibri" w:cs="Calibri"/>
        </w:rPr>
        <w:t xml:space="preserve"> O total de minutos acumulados durante um Período Aplicável para todas as Máquinas Virtuais com interface para a Internet que tenham duas ou mais instâncias implementadas no mesmo Conjunto de Disponibilidade ou no mesmo Grupo de Dedicated Hosts. O Máximo de Minutos Disponíveis é calculado a partir do momento em que pelo menos duas Máquinas Virtuais no mesmo Conjunto de Disponibilidade, ou no mesmo Grupo de Dedicated Hosts, foram iniciadas como resultado da ação iniciada pelo Cliente até ao momento em que o Cliente iniciou uma ação que resultaria na interrupção ou eliminação das Máquinas Virtuais.</w:t>
      </w:r>
    </w:p>
    <w:p w14:paraId="44D0F9E7"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Período de Indisponibilidade</w:t>
      </w:r>
      <w:r w:rsidRPr="00FA68E4">
        <w:rPr>
          <w:rFonts w:ascii="Calibri" w:hAnsi="Calibri" w:cs="Calibri"/>
          <w:b/>
          <w:color w:val="0072C6"/>
        </w:rPr>
        <w:t>:</w:t>
      </w:r>
      <w:r>
        <w:rPr>
          <w:rFonts w:ascii="Calibri" w:hAnsi="Calibri" w:cs="Calibri"/>
        </w:rPr>
        <w:t xml:space="preserve"> O total de minutos acumulados que fazem parte do Máximo de Minutos Disponíveis sem Conectividade da Máquina Virtual.</w:t>
      </w:r>
    </w:p>
    <w:p w14:paraId="1C59D2E7" w14:textId="4728E6D0" w:rsidR="00264BC1" w:rsidRDefault="00264BC1" w:rsidP="0091798B">
      <w:pPr>
        <w:pStyle w:val="ProductList-Body"/>
        <w:keepNext/>
        <w:ind w:left="360"/>
        <w:rPr>
          <w:rFonts w:ascii="Calibri" w:hAnsi="Calibri" w:cs="Calibri"/>
        </w:rPr>
      </w:pPr>
      <w:r>
        <w:rPr>
          <w:rFonts w:ascii="Calibri" w:hAnsi="Calibri" w:cs="Calibri"/>
          <w:b/>
          <w:color w:val="0072C6"/>
        </w:rPr>
        <w:t>Percentagem de Período de Disponibilidade</w:t>
      </w:r>
      <w:r w:rsidRPr="002C7B55">
        <w:rPr>
          <w:rFonts w:ascii="Calibri" w:hAnsi="Calibri" w:cs="Calibri"/>
          <w:b/>
          <w:color w:val="0072C6"/>
        </w:rPr>
        <w:t>:</w:t>
      </w:r>
      <w:r>
        <w:rPr>
          <w:rFonts w:ascii="Calibri" w:hAnsi="Calibri" w:cs="Calibri"/>
        </w:rPr>
        <w:t xml:space="preserve"> para Máquinas Virtuais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3CFCB10C" w14:textId="77777777" w:rsidR="00264BC1" w:rsidRPr="00EF7CF9" w:rsidRDefault="00264BC1" w:rsidP="00563F75">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4520FDFD" w14:textId="77777777" w:rsidR="00264BC1" w:rsidRPr="00EC3D00" w:rsidRDefault="00264BC1" w:rsidP="00264BC1">
      <w:pPr>
        <w:pStyle w:val="ProductList-Body"/>
        <w:keepNext/>
        <w:ind w:left="360"/>
        <w:rPr>
          <w:rFonts w:ascii="Calibri" w:hAnsi="Calibri" w:cs="Calibri"/>
        </w:rPr>
      </w:pPr>
      <w:r>
        <w:rPr>
          <w:rFonts w:ascii="Calibri" w:hAnsi="Calibri" w:cs="Calibri"/>
          <w:b/>
          <w:color w:val="0072C6"/>
        </w:rPr>
        <w:t>Crédito de Serviço</w:t>
      </w:r>
      <w:r w:rsidRPr="00842E88">
        <w:rPr>
          <w:rFonts w:ascii="Calibri" w:hAnsi="Calibri" w:cs="Calibri"/>
          <w:b/>
          <w:color w:val="0072C6"/>
        </w:rPr>
        <w:t>:</w:t>
      </w:r>
    </w:p>
    <w:p w14:paraId="1DBCAA94" w14:textId="77777777" w:rsidR="00264BC1" w:rsidRPr="00EC3D00"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num Conjunto de Disponibilidade ou no mesmo Grupo de Dedicated Hosts: Este SLA não é aplicável aos Conjuntos de Disponibilidade que tiram partido de discos 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64BC1" w:rsidRPr="00B44CF9" w14:paraId="546D8578" w14:textId="77777777" w:rsidTr="00E50F69">
        <w:trPr>
          <w:tblHeader/>
        </w:trPr>
        <w:tc>
          <w:tcPr>
            <w:tcW w:w="5040" w:type="dxa"/>
            <w:shd w:val="clear" w:color="auto" w:fill="0072C6"/>
          </w:tcPr>
          <w:p w14:paraId="69E8B72C" w14:textId="77777777" w:rsidR="00264BC1" w:rsidRPr="00EF7CF9" w:rsidRDefault="00264BC1" w:rsidP="00E50F69">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1FC7F0CC" w14:textId="77777777" w:rsidR="00264BC1" w:rsidRPr="00EF7CF9" w:rsidRDefault="00264BC1" w:rsidP="00E50F69">
            <w:pPr>
              <w:pStyle w:val="ProductList-OfferingBody"/>
              <w:jc w:val="center"/>
              <w:rPr>
                <w:color w:val="FFFFFF" w:themeColor="background1"/>
              </w:rPr>
            </w:pPr>
            <w:r>
              <w:rPr>
                <w:color w:val="FFFFFF" w:themeColor="background1"/>
              </w:rPr>
              <w:t>Crédito de Serviço</w:t>
            </w:r>
          </w:p>
        </w:tc>
      </w:tr>
      <w:tr w:rsidR="00264BC1" w:rsidRPr="00B44CF9" w14:paraId="2E022285" w14:textId="77777777" w:rsidTr="00E50F69">
        <w:tc>
          <w:tcPr>
            <w:tcW w:w="5040" w:type="dxa"/>
          </w:tcPr>
          <w:p w14:paraId="08A631C0" w14:textId="77777777" w:rsidR="00264BC1" w:rsidRPr="00EC3D00" w:rsidRDefault="00264BC1" w:rsidP="00E50F69">
            <w:pPr>
              <w:pStyle w:val="ProductList-OfferingBody"/>
              <w:jc w:val="center"/>
              <w:rPr>
                <w:rFonts w:ascii="Calibri" w:hAnsi="Calibri" w:cs="Calibri"/>
              </w:rPr>
            </w:pPr>
            <w:r>
              <w:rPr>
                <w:rFonts w:ascii="Calibri" w:hAnsi="Calibri" w:cs="Calibri"/>
              </w:rPr>
              <w:t>&lt; 99,95%</w:t>
            </w:r>
          </w:p>
        </w:tc>
        <w:tc>
          <w:tcPr>
            <w:tcW w:w="5400" w:type="dxa"/>
          </w:tcPr>
          <w:p w14:paraId="6ACF4E77" w14:textId="77777777" w:rsidR="00264BC1" w:rsidRPr="00EC3D00" w:rsidRDefault="00264BC1" w:rsidP="00E50F69">
            <w:pPr>
              <w:pStyle w:val="ProductList-OfferingBody"/>
              <w:jc w:val="center"/>
              <w:rPr>
                <w:rFonts w:ascii="Calibri" w:hAnsi="Calibri" w:cs="Calibri"/>
              </w:rPr>
            </w:pPr>
            <w:r>
              <w:rPr>
                <w:rFonts w:ascii="Calibri" w:hAnsi="Calibri" w:cs="Calibri"/>
              </w:rPr>
              <w:t>10%</w:t>
            </w:r>
          </w:p>
        </w:tc>
      </w:tr>
      <w:tr w:rsidR="00264BC1" w:rsidRPr="00B44CF9" w14:paraId="662A84A3" w14:textId="77777777" w:rsidTr="00E50F69">
        <w:tc>
          <w:tcPr>
            <w:tcW w:w="5040" w:type="dxa"/>
          </w:tcPr>
          <w:p w14:paraId="22F30263" w14:textId="77777777" w:rsidR="00264BC1" w:rsidRPr="00EC3D00" w:rsidRDefault="00264BC1" w:rsidP="00E50F69">
            <w:pPr>
              <w:pStyle w:val="ProductList-OfferingBody"/>
              <w:jc w:val="center"/>
              <w:rPr>
                <w:rFonts w:ascii="Calibri" w:hAnsi="Calibri" w:cs="Calibri"/>
              </w:rPr>
            </w:pPr>
            <w:r>
              <w:rPr>
                <w:rFonts w:ascii="Calibri" w:hAnsi="Calibri" w:cs="Calibri"/>
              </w:rPr>
              <w:t>&lt; 99%</w:t>
            </w:r>
          </w:p>
        </w:tc>
        <w:tc>
          <w:tcPr>
            <w:tcW w:w="5400" w:type="dxa"/>
          </w:tcPr>
          <w:p w14:paraId="5FAF6109" w14:textId="77777777" w:rsidR="00264BC1" w:rsidRPr="00EC3D00" w:rsidRDefault="00264BC1" w:rsidP="00E50F69">
            <w:pPr>
              <w:pStyle w:val="ProductList-OfferingBody"/>
              <w:jc w:val="center"/>
              <w:rPr>
                <w:rFonts w:ascii="Calibri" w:hAnsi="Calibri" w:cs="Calibri"/>
              </w:rPr>
            </w:pPr>
            <w:r>
              <w:rPr>
                <w:rFonts w:ascii="Calibri" w:hAnsi="Calibri" w:cs="Calibri"/>
              </w:rPr>
              <w:t>25%</w:t>
            </w:r>
          </w:p>
        </w:tc>
      </w:tr>
      <w:tr w:rsidR="00264BC1" w:rsidRPr="00B44CF9" w14:paraId="3B5923B5" w14:textId="77777777" w:rsidTr="00E50F69">
        <w:tc>
          <w:tcPr>
            <w:tcW w:w="5040" w:type="dxa"/>
          </w:tcPr>
          <w:p w14:paraId="082F506A" w14:textId="77777777" w:rsidR="00264BC1" w:rsidRPr="00EC3D00" w:rsidRDefault="00264BC1" w:rsidP="00E50F69">
            <w:pPr>
              <w:pStyle w:val="ProductList-OfferingBody"/>
              <w:jc w:val="center"/>
              <w:rPr>
                <w:rFonts w:ascii="Calibri" w:hAnsi="Calibri" w:cs="Calibri"/>
              </w:rPr>
            </w:pPr>
            <w:r>
              <w:rPr>
                <w:rFonts w:ascii="Calibri" w:hAnsi="Calibri" w:cs="Calibri"/>
              </w:rPr>
              <w:t>&lt; 95%</w:t>
            </w:r>
          </w:p>
        </w:tc>
        <w:tc>
          <w:tcPr>
            <w:tcW w:w="5400" w:type="dxa"/>
          </w:tcPr>
          <w:p w14:paraId="1A2C94E7" w14:textId="77777777" w:rsidR="00264BC1" w:rsidRPr="00EC3D00" w:rsidRDefault="00264BC1" w:rsidP="00E50F69">
            <w:pPr>
              <w:pStyle w:val="ProductList-OfferingBody"/>
              <w:jc w:val="center"/>
              <w:rPr>
                <w:rFonts w:ascii="Calibri" w:hAnsi="Calibri" w:cs="Calibri"/>
              </w:rPr>
            </w:pPr>
            <w:r>
              <w:rPr>
                <w:rFonts w:ascii="Calibri" w:hAnsi="Calibri" w:cs="Calibri"/>
              </w:rPr>
              <w:t>100%</w:t>
            </w:r>
          </w:p>
        </w:tc>
      </w:tr>
    </w:tbl>
    <w:p w14:paraId="65BB9CA9" w14:textId="77777777" w:rsidR="00264BC1" w:rsidRPr="00EC3D00" w:rsidRDefault="00264BC1" w:rsidP="00264BC1">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Máquinas Virtuais de Instância Única e Máquinas Virtuais que utilizam os mesmos Discos Partilhados</w:t>
      </w:r>
    </w:p>
    <w:p w14:paraId="6975EB4A" w14:textId="77777777" w:rsidR="00264BC1" w:rsidRPr="00EC3D00" w:rsidRDefault="00264BC1" w:rsidP="00264BC1">
      <w:pPr>
        <w:pStyle w:val="ProductList-Body"/>
        <w:ind w:left="360"/>
        <w:rPr>
          <w:rFonts w:ascii="Calibri" w:hAnsi="Calibri" w:cs="Calibri"/>
        </w:rPr>
      </w:pPr>
      <w:r>
        <w:rPr>
          <w:rFonts w:ascii="Calibri" w:hAnsi="Calibri" w:cs="Calibri"/>
        </w:rPr>
        <w:t>“</w:t>
      </w:r>
      <w:r>
        <w:rPr>
          <w:rFonts w:ascii="Calibri" w:hAnsi="Calibri" w:cs="Calibri"/>
          <w:b/>
          <w:color w:val="0072C6"/>
        </w:rPr>
        <w:t>Minutos no Período Aplicável</w:t>
      </w:r>
      <w:r>
        <w:rPr>
          <w:rFonts w:ascii="Calibri" w:hAnsi="Calibri" w:cs="Calibri"/>
        </w:rPr>
        <w:t>” designa o número total de minutos num determinado Período Aplicável.</w:t>
      </w:r>
    </w:p>
    <w:p w14:paraId="6BD0654D"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Período de Indisponibilidade</w:t>
      </w:r>
      <w:r>
        <w:rPr>
          <w:rFonts w:ascii="Calibri" w:hAnsi="Calibri" w:cs="Calibri"/>
        </w:rPr>
        <w:t>: é o total de minutos acumulados que fazem parte dos Minutos no Período Aplicável sem Conectividade da Máquina Virtual.</w:t>
      </w:r>
    </w:p>
    <w:p w14:paraId="34CB18A2" w14:textId="77777777" w:rsidR="00264BC1" w:rsidRDefault="00264BC1" w:rsidP="00264BC1">
      <w:pPr>
        <w:pStyle w:val="ProductList-Body"/>
        <w:ind w:left="360"/>
        <w:rPr>
          <w:rFonts w:ascii="Calibri" w:hAnsi="Calibri" w:cs="Calibri"/>
        </w:rPr>
      </w:pPr>
      <w:r>
        <w:rPr>
          <w:rFonts w:ascii="Calibri" w:hAnsi="Calibri" w:cs="Calibri"/>
          <w:b/>
          <w:color w:val="0072C6"/>
        </w:rPr>
        <w:t>Percentagem de Período de Disponibilidade</w:t>
      </w:r>
      <w:r w:rsidRPr="00620D63">
        <w:rPr>
          <w:rFonts w:ascii="Calibri" w:hAnsi="Calibri" w:cs="Calibri"/>
          <w:b/>
          <w:color w:val="0072C6"/>
        </w:rPr>
        <w:t>:</w:t>
      </w:r>
      <w:r>
        <w:rPr>
          <w:rFonts w:ascii="Calibri" w:hAnsi="Calibri" w:cs="Calibri"/>
        </w:rPr>
        <w:t xml:space="preserve"> é calculada ao subtrair de 100% a percentagem de Minutos no Período Aplicável durante a qual qualquer Máquina Virtual de Instância Única teve Período de Indisponibilidade ou em que todas as Máquinas Virtuais que utilizam o mesmo Disco Partilhado tiveram um Período de Indisponibilidade.</w:t>
      </w:r>
    </w:p>
    <w:p w14:paraId="6E7CDAC9" w14:textId="77777777" w:rsidR="00264BC1" w:rsidRPr="00EF7CF9" w:rsidRDefault="00264BC1" w:rsidP="00AD13B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x 100</m:t>
          </m:r>
        </m:oMath>
      </m:oMathPara>
    </w:p>
    <w:p w14:paraId="46E24C5A"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Crédito de Serviço</w:t>
      </w:r>
      <w:r w:rsidRPr="00D81F78">
        <w:rPr>
          <w:rFonts w:ascii="Calibri" w:hAnsi="Calibri" w:cs="Calibri"/>
          <w:b/>
          <w:color w:val="0072C6"/>
        </w:rPr>
        <w:t>:</w:t>
      </w:r>
    </w:p>
    <w:p w14:paraId="7297F1EF" w14:textId="77777777" w:rsidR="00264BC1"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de Instância Única e Máquinas Virtuais que utilizam os mesmos Discos Partilhados por Tipo de disco. Para qualquer Máquina Virtual de Instância Única que utiliza vários tipos de disco e para todas as Máquinas Virtuais que utilizam os mesmos Discos Partilhados de vários tipos*, será aplicável o SLA mais baixo de todos os discos na Máquina Virtual:</w:t>
      </w:r>
    </w:p>
    <w:p w14:paraId="7B10D639" w14:textId="77777777" w:rsidR="00D95212" w:rsidRDefault="00D95212" w:rsidP="00264BC1">
      <w:pPr>
        <w:pStyle w:val="ProductList-Body"/>
        <w:ind w:left="360"/>
        <w:rPr>
          <w:rFonts w:ascii="Calibri" w:hAnsi="Calibri" w:cs="Calibri"/>
        </w:rPr>
      </w:pPr>
    </w:p>
    <w:p w14:paraId="591CDC40" w14:textId="77777777" w:rsidR="00D87086" w:rsidRPr="00EC3D00" w:rsidRDefault="00D87086" w:rsidP="00D87086">
      <w:pPr>
        <w:pStyle w:val="ProductList-Body"/>
        <w:ind w:left="360"/>
        <w:rPr>
          <w:rFonts w:ascii="Calibri" w:hAnsi="Calibri" w:cs="Calibri"/>
        </w:rPr>
      </w:pPr>
      <w:r>
        <w:rPr>
          <w:rFonts w:ascii="Calibri" w:hAnsi="Calibri" w:cs="Calibri"/>
        </w:rPr>
        <w:t>*Por exemplo, dadas duas Máquinas Virtuais VM1 e VM2 com um Disco Partilhado SSD Premium e um Disco Partilhado SSD Padrão, o SLA de período de disponibilidade para VM1 e VM2 será igual ao SLA para uma Máquina Virtual de Instância Única com o SSD Padrão, conforme mostrado abaixo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D87086" w:rsidRPr="00B44CF9" w14:paraId="0276D147" w14:textId="77777777" w:rsidTr="00E50F69">
        <w:trPr>
          <w:tblHeader/>
        </w:trPr>
        <w:tc>
          <w:tcPr>
            <w:tcW w:w="1164" w:type="pct"/>
            <w:shd w:val="clear" w:color="auto" w:fill="0072C6"/>
          </w:tcPr>
          <w:p w14:paraId="433A6C13" w14:textId="77777777" w:rsidR="00D87086" w:rsidRPr="00EC3D00" w:rsidRDefault="00D87086" w:rsidP="00E50F69">
            <w:pPr>
              <w:pStyle w:val="ProductList-OfferingBody"/>
              <w:rPr>
                <w:rFonts w:ascii="Calibri" w:hAnsi="Calibri" w:cs="Calibri"/>
                <w:color w:val="FFFFFF" w:themeColor="background1"/>
              </w:rPr>
            </w:pPr>
            <w:r>
              <w:rPr>
                <w:rFonts w:ascii="Calibri" w:hAnsi="Calibri" w:cs="Calibri"/>
                <w:color w:val="FFFFFF" w:themeColor="background1"/>
              </w:rPr>
              <w:t>Percentagem de Período de Disponibilidade (SSD Premium, SSD v2 Premium e Ultra Disk)**</w:t>
            </w:r>
          </w:p>
        </w:tc>
        <w:tc>
          <w:tcPr>
            <w:tcW w:w="1252" w:type="pct"/>
            <w:shd w:val="clear" w:color="auto" w:fill="0072C6"/>
          </w:tcPr>
          <w:p w14:paraId="3350F32A"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 (Disco Gerido SSD Padrão)</w:t>
            </w:r>
          </w:p>
        </w:tc>
        <w:tc>
          <w:tcPr>
            <w:tcW w:w="1380" w:type="pct"/>
            <w:shd w:val="clear" w:color="auto" w:fill="0072C6"/>
          </w:tcPr>
          <w:p w14:paraId="438D5911"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 (Disco Gerido HDD Padrão)</w:t>
            </w:r>
          </w:p>
        </w:tc>
        <w:tc>
          <w:tcPr>
            <w:tcW w:w="1204" w:type="pct"/>
            <w:shd w:val="clear" w:color="auto" w:fill="0072C6"/>
          </w:tcPr>
          <w:p w14:paraId="209EAD9B"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D87086" w:rsidRPr="00B44CF9" w14:paraId="5B4937E2" w14:textId="77777777" w:rsidTr="00E50F69">
        <w:tc>
          <w:tcPr>
            <w:tcW w:w="1164" w:type="pct"/>
          </w:tcPr>
          <w:p w14:paraId="23474C96" w14:textId="77777777" w:rsidR="00D87086" w:rsidRPr="00EC3D00" w:rsidRDefault="00D87086" w:rsidP="00E50F69">
            <w:pPr>
              <w:pStyle w:val="ProductList-OfferingBody"/>
              <w:jc w:val="center"/>
              <w:rPr>
                <w:rFonts w:ascii="Calibri" w:hAnsi="Calibri" w:cs="Calibri"/>
              </w:rPr>
            </w:pPr>
            <w:r>
              <w:rPr>
                <w:rFonts w:ascii="Calibri" w:hAnsi="Calibri" w:cs="Calibri"/>
              </w:rPr>
              <w:t>&lt; 99,9%</w:t>
            </w:r>
          </w:p>
        </w:tc>
        <w:tc>
          <w:tcPr>
            <w:tcW w:w="1252" w:type="pct"/>
          </w:tcPr>
          <w:p w14:paraId="0151EE64" w14:textId="77777777" w:rsidR="00D87086" w:rsidRPr="00EC3D00" w:rsidRDefault="00D87086" w:rsidP="00E50F69">
            <w:pPr>
              <w:pStyle w:val="ProductList-OfferingBody"/>
              <w:jc w:val="center"/>
              <w:rPr>
                <w:rFonts w:ascii="Calibri" w:hAnsi="Calibri" w:cs="Calibri"/>
              </w:rPr>
            </w:pPr>
            <w:r>
              <w:rPr>
                <w:rFonts w:ascii="Calibri" w:hAnsi="Calibri" w:cs="Calibri"/>
              </w:rPr>
              <w:t>&lt; 99,5%</w:t>
            </w:r>
          </w:p>
        </w:tc>
        <w:tc>
          <w:tcPr>
            <w:tcW w:w="1380" w:type="pct"/>
          </w:tcPr>
          <w:p w14:paraId="3F3318EB"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204" w:type="pct"/>
          </w:tcPr>
          <w:p w14:paraId="264FB7C1" w14:textId="77777777" w:rsidR="00D87086" w:rsidRPr="00EC3D00" w:rsidRDefault="00D87086" w:rsidP="00E50F69">
            <w:pPr>
              <w:pStyle w:val="ProductList-OfferingBody"/>
              <w:jc w:val="center"/>
              <w:rPr>
                <w:rFonts w:ascii="Calibri" w:hAnsi="Calibri" w:cs="Calibri"/>
              </w:rPr>
            </w:pPr>
            <w:r>
              <w:rPr>
                <w:rFonts w:ascii="Calibri" w:hAnsi="Calibri" w:cs="Calibri"/>
              </w:rPr>
              <w:t>10%</w:t>
            </w:r>
          </w:p>
        </w:tc>
      </w:tr>
      <w:tr w:rsidR="00D87086" w:rsidRPr="00B44CF9" w14:paraId="0D62A738" w14:textId="77777777" w:rsidTr="00E50F69">
        <w:tc>
          <w:tcPr>
            <w:tcW w:w="1164" w:type="pct"/>
          </w:tcPr>
          <w:p w14:paraId="22F1D1F7" w14:textId="77777777" w:rsidR="00D87086" w:rsidRPr="00EC3D00" w:rsidRDefault="00D87086" w:rsidP="00E50F69">
            <w:pPr>
              <w:pStyle w:val="ProductList-OfferingBody"/>
              <w:jc w:val="center"/>
              <w:rPr>
                <w:rFonts w:ascii="Calibri" w:hAnsi="Calibri" w:cs="Calibri"/>
              </w:rPr>
            </w:pPr>
            <w:r>
              <w:rPr>
                <w:rFonts w:ascii="Calibri" w:hAnsi="Calibri" w:cs="Calibri"/>
              </w:rPr>
              <w:t>&lt; 99%</w:t>
            </w:r>
          </w:p>
        </w:tc>
        <w:tc>
          <w:tcPr>
            <w:tcW w:w="1252" w:type="pct"/>
          </w:tcPr>
          <w:p w14:paraId="3210A3AF"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380" w:type="pct"/>
          </w:tcPr>
          <w:p w14:paraId="436437D5" w14:textId="77777777" w:rsidR="00D87086" w:rsidRPr="00EC3D00" w:rsidRDefault="00D87086" w:rsidP="00E50F69">
            <w:pPr>
              <w:pStyle w:val="ProductList-OfferingBody"/>
              <w:jc w:val="center"/>
              <w:rPr>
                <w:rFonts w:ascii="Calibri" w:hAnsi="Calibri" w:cs="Calibri"/>
              </w:rPr>
            </w:pPr>
            <w:r>
              <w:rPr>
                <w:rFonts w:ascii="Calibri" w:hAnsi="Calibri" w:cs="Calibri"/>
              </w:rPr>
              <w:t>&lt; 92%</w:t>
            </w:r>
          </w:p>
        </w:tc>
        <w:tc>
          <w:tcPr>
            <w:tcW w:w="1204" w:type="pct"/>
          </w:tcPr>
          <w:p w14:paraId="76BEB640" w14:textId="77777777" w:rsidR="00D87086" w:rsidRPr="00EC3D00" w:rsidRDefault="00D87086" w:rsidP="00E50F69">
            <w:pPr>
              <w:pStyle w:val="ProductList-OfferingBody"/>
              <w:jc w:val="center"/>
              <w:rPr>
                <w:rFonts w:ascii="Calibri" w:hAnsi="Calibri" w:cs="Calibri"/>
              </w:rPr>
            </w:pPr>
            <w:r>
              <w:rPr>
                <w:rFonts w:ascii="Calibri" w:hAnsi="Calibri" w:cs="Calibri"/>
              </w:rPr>
              <w:t>25%</w:t>
            </w:r>
          </w:p>
        </w:tc>
      </w:tr>
      <w:tr w:rsidR="00D87086" w:rsidRPr="00B44CF9" w14:paraId="5292508A" w14:textId="77777777" w:rsidTr="00E50F69">
        <w:tc>
          <w:tcPr>
            <w:tcW w:w="1164" w:type="pct"/>
          </w:tcPr>
          <w:p w14:paraId="1CB5CD76"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252" w:type="pct"/>
          </w:tcPr>
          <w:p w14:paraId="0597F19A" w14:textId="77777777" w:rsidR="00D87086" w:rsidRPr="00EC3D00" w:rsidRDefault="00D87086" w:rsidP="00E50F69">
            <w:pPr>
              <w:pStyle w:val="ProductList-OfferingBody"/>
              <w:jc w:val="center"/>
              <w:rPr>
                <w:rFonts w:ascii="Calibri" w:hAnsi="Calibri" w:cs="Calibri"/>
              </w:rPr>
            </w:pPr>
            <w:r>
              <w:rPr>
                <w:rFonts w:ascii="Calibri" w:hAnsi="Calibri" w:cs="Calibri"/>
              </w:rPr>
              <w:t>&lt; 90%</w:t>
            </w:r>
          </w:p>
        </w:tc>
        <w:tc>
          <w:tcPr>
            <w:tcW w:w="1380" w:type="pct"/>
          </w:tcPr>
          <w:p w14:paraId="311C4A3B" w14:textId="77777777" w:rsidR="00D87086" w:rsidRPr="00EC3D00" w:rsidRDefault="00D87086" w:rsidP="00E50F69">
            <w:pPr>
              <w:pStyle w:val="ProductList-OfferingBody"/>
              <w:jc w:val="center"/>
              <w:rPr>
                <w:rFonts w:ascii="Calibri" w:hAnsi="Calibri" w:cs="Calibri"/>
              </w:rPr>
            </w:pPr>
            <w:r>
              <w:rPr>
                <w:rFonts w:ascii="Calibri" w:hAnsi="Calibri" w:cs="Calibri"/>
              </w:rPr>
              <w:t>&lt; 90%</w:t>
            </w:r>
          </w:p>
        </w:tc>
        <w:tc>
          <w:tcPr>
            <w:tcW w:w="1204" w:type="pct"/>
          </w:tcPr>
          <w:p w14:paraId="2558967F" w14:textId="77777777" w:rsidR="00D87086" w:rsidRPr="00EC3D00" w:rsidRDefault="00D87086" w:rsidP="00E50F69">
            <w:pPr>
              <w:pStyle w:val="ProductList-OfferingBody"/>
              <w:jc w:val="center"/>
              <w:rPr>
                <w:rFonts w:ascii="Calibri" w:hAnsi="Calibri" w:cs="Calibri"/>
              </w:rPr>
            </w:pPr>
            <w:r>
              <w:rPr>
                <w:rFonts w:ascii="Calibri" w:hAnsi="Calibri" w:cs="Calibri"/>
              </w:rPr>
              <w:t>100%</w:t>
            </w:r>
          </w:p>
        </w:tc>
      </w:tr>
    </w:tbl>
    <w:p w14:paraId="5228A622" w14:textId="2D109305" w:rsidR="00D87086" w:rsidRDefault="00AD13B7" w:rsidP="003F5829">
      <w:pPr>
        <w:spacing w:before="120" w:after="0" w:line="240" w:lineRule="auto"/>
        <w:rPr>
          <w:rFonts w:ascii="Calibri" w:hAnsi="Calibri" w:cs="Calibri"/>
          <w:sz w:val="18"/>
        </w:rPr>
      </w:pPr>
      <w:r>
        <w:rPr>
          <w:rFonts w:ascii="Calibri" w:hAnsi="Calibri" w:cs="Calibri"/>
          <w:sz w:val="18"/>
        </w:rPr>
        <w:t xml:space="preserve">         </w:t>
      </w:r>
      <w:r w:rsidR="00D87086">
        <w:rPr>
          <w:rFonts w:ascii="Calibri" w:hAnsi="Calibri" w:cs="Calibri"/>
          <w:sz w:val="18"/>
        </w:rPr>
        <w:t>**SSD Premium para todos os Discos de Sistema Operativo, e SSD Premium, SSD v2 Premium ou Ultra Disk para todos os Discos de Dados.</w:t>
      </w:r>
    </w:p>
    <w:p w14:paraId="4401C59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3FD75679" w14:textId="77777777" w:rsidR="00BC2A9C" w:rsidRDefault="00BC2A9C" w:rsidP="0091798B">
      <w:pPr>
        <w:pStyle w:val="ProductList-Offering2Heading"/>
        <w:tabs>
          <w:tab w:val="clear" w:pos="360"/>
        </w:tabs>
        <w:outlineLvl w:val="2"/>
      </w:pPr>
      <w:bookmarkStart w:id="414" w:name="_Toc214456882"/>
      <w:r>
        <w:t>Azure Virtual Network Manager</w:t>
      </w:r>
      <w:bookmarkEnd w:id="414"/>
    </w:p>
    <w:p w14:paraId="431D4064" w14:textId="77777777" w:rsidR="00BC2A9C" w:rsidRDefault="00BC2A9C" w:rsidP="00F01ED6">
      <w:pPr>
        <w:pStyle w:val="ProductList-Body"/>
        <w:rPr>
          <w:b/>
          <w:color w:val="00188F"/>
        </w:rPr>
      </w:pPr>
      <w:r>
        <w:rPr>
          <w:b/>
          <w:color w:val="00188F"/>
        </w:rPr>
        <w:t>Definições Adicionais</w:t>
      </w:r>
    </w:p>
    <w:p w14:paraId="543C0D66" w14:textId="299D7AE1" w:rsidR="00BC2A9C" w:rsidRDefault="00380305" w:rsidP="00F01ED6">
      <w:pPr>
        <w:pStyle w:val="ProductList-Body"/>
      </w:pPr>
      <w:r>
        <w:t>“</w:t>
      </w:r>
      <w:r w:rsidR="00BC2A9C">
        <w:rPr>
          <w:b/>
          <w:bCs/>
          <w:color w:val="00188F"/>
        </w:rPr>
        <w:t>Máximo de Minutos Disponíveis</w:t>
      </w:r>
      <w:r>
        <w:t>”</w:t>
      </w:r>
      <w:r w:rsidR="00BC2A9C">
        <w:t xml:space="preserve"> designa o total de minutos acumulados durante um Período Aplicável durante o qual um determinado Azure Virtual Network Manager tenha sido implementado numa subscrição do Microsoft Azure.</w:t>
      </w:r>
    </w:p>
    <w:p w14:paraId="1EDAF06D" w14:textId="183472C4" w:rsidR="00BC2A9C" w:rsidRDefault="00380305" w:rsidP="00F01ED6">
      <w:pPr>
        <w:pStyle w:val="ProductList-Body"/>
      </w:pPr>
      <w:r>
        <w:t>“</w:t>
      </w:r>
      <w:r w:rsidR="00BC2A9C">
        <w:rPr>
          <w:b/>
          <w:bCs/>
          <w:color w:val="00188F"/>
        </w:rPr>
        <w:t>Período de Indisponibilidade</w:t>
      </w:r>
      <w:r>
        <w:t>”</w:t>
      </w:r>
      <w:r w:rsidR="00BC2A9C">
        <w:t xml:space="preserve"> designa o total acumulado de Máximo de Minutos Disponíveis durante o qual um Azure Virtual Network Manager está indisponível. Considera-se que um minuto está indisponível se todas as tentativas de ligação ao Azure Virtual Network Manager durante esse minuto falharem.</w:t>
      </w:r>
    </w:p>
    <w:p w14:paraId="50464E6D" w14:textId="0640148D"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6DAB46A1" w14:textId="7FB36EAB" w:rsidR="00BC2A9C" w:rsidRDefault="00000000" w:rsidP="00EC724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EC17AC2" w14:textId="77777777" w:rsidR="00BC2A9C" w:rsidRDefault="00BC2A9C" w:rsidP="00F01ED6">
      <w:pPr>
        <w:pStyle w:val="ProductList-Body"/>
        <w:keepNext/>
        <w:rPr>
          <w:b/>
          <w:bCs/>
          <w:color w:val="00188F"/>
        </w:rPr>
      </w:pPr>
      <w:r>
        <w:rPr>
          <w:b/>
          <w:bCs/>
          <w:color w:val="00188F"/>
        </w:rPr>
        <w:t>Os seguintes Níveis de Serviço e Créditos de Serviço são aplicáveis à utilização de cada Azure Virtual Network Manager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F01ED6">
            <w:pPr>
              <w:pStyle w:val="ProductList-OfferingBody"/>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F01ED6">
            <w:pPr>
              <w:pStyle w:val="ProductList-OfferingBody"/>
              <w:jc w:val="center"/>
            </w:pPr>
            <w:r>
              <w:t>25%</w:t>
            </w:r>
          </w:p>
        </w:tc>
      </w:tr>
    </w:tbl>
    <w:p w14:paraId="17F273A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128B447" w14:textId="77777777" w:rsidR="00A42102" w:rsidRDefault="00A42102">
      <w:pPr>
        <w:rPr>
          <w:rFonts w:asciiTheme="majorHAnsi" w:hAnsiTheme="majorHAnsi"/>
          <w:b/>
          <w:color w:val="0072C6"/>
          <w:sz w:val="28"/>
        </w:rPr>
      </w:pPr>
      <w:r>
        <w:br w:type="page"/>
      </w:r>
    </w:p>
    <w:p w14:paraId="1E840184" w14:textId="514BB9EE" w:rsidR="004005AF" w:rsidRPr="00EF7CF9" w:rsidRDefault="004005AF" w:rsidP="00F01ED6">
      <w:pPr>
        <w:pStyle w:val="ProductList-Offering2Heading"/>
        <w:tabs>
          <w:tab w:val="clear" w:pos="360"/>
          <w:tab w:val="clear" w:pos="720"/>
          <w:tab w:val="clear" w:pos="1080"/>
        </w:tabs>
        <w:outlineLvl w:val="2"/>
      </w:pPr>
      <w:bookmarkStart w:id="415" w:name="_Toc214456883"/>
      <w:r>
        <w:lastRenderedPageBreak/>
        <w:t>WAN Virtual do Azure</w:t>
      </w:r>
      <w:bookmarkEnd w:id="337"/>
      <w:bookmarkEnd w:id="338"/>
      <w:bookmarkEnd w:id="415"/>
    </w:p>
    <w:p w14:paraId="493AD4D5" w14:textId="77777777" w:rsidR="004005AF" w:rsidRPr="00EF7CF9" w:rsidRDefault="004005AF" w:rsidP="00F01ED6">
      <w:pPr>
        <w:pStyle w:val="ProductList-Body"/>
      </w:pPr>
      <w:r>
        <w:rPr>
          <w:b/>
          <w:color w:val="00188F"/>
        </w:rPr>
        <w:t>Definições Adicionais</w:t>
      </w:r>
      <w:r w:rsidRPr="00473DD3">
        <w:rPr>
          <w:b/>
          <w:color w:val="00188F"/>
        </w:rPr>
        <w:t>:</w:t>
      </w:r>
    </w:p>
    <w:p w14:paraId="7103CBD6" w14:textId="4AA62503" w:rsidR="004005AF" w:rsidRDefault="00380305" w:rsidP="00F01ED6">
      <w:pPr>
        <w:pStyle w:val="ProductList-Body"/>
      </w:pPr>
      <w:r>
        <w:t>“</w:t>
      </w:r>
      <w:r w:rsidR="004005AF">
        <w:rPr>
          <w:b/>
          <w:color w:val="00188F"/>
        </w:rPr>
        <w:t>Máximo de Minutos Disponíveis</w:t>
      </w:r>
      <w:r>
        <w:t>”</w:t>
      </w:r>
      <w:r w:rsidR="004005AF">
        <w:t xml:space="preserve"> designa o total acumulado de minutos num Período Aplicável durante o qual uma determinada WAN Virtual do Azure esteve implementada numa subscrição do Microsoft Azure.</w:t>
      </w:r>
    </w:p>
    <w:p w14:paraId="39AFD67D" w14:textId="5079C1B6" w:rsidR="004005AF" w:rsidRPr="006A28BC" w:rsidRDefault="00380305" w:rsidP="00F01ED6">
      <w:pPr>
        <w:pStyle w:val="ProductList-Body"/>
        <w:rPr>
          <w:spacing w:val="-4"/>
        </w:rPr>
      </w:pPr>
      <w:r>
        <w:rPr>
          <w:spacing w:val="-4"/>
        </w:rPr>
        <w:t>“</w:t>
      </w:r>
      <w:r w:rsidR="004005AF" w:rsidRPr="006A28BC">
        <w:rPr>
          <w:b/>
          <w:color w:val="00188F"/>
          <w:spacing w:val="-4"/>
        </w:rPr>
        <w:t>Período de Indisponibilidade</w:t>
      </w:r>
      <w:r>
        <w:rPr>
          <w:spacing w:val="-4"/>
        </w:rPr>
        <w:t>”</w:t>
      </w:r>
      <w:r w:rsidR="004005AF" w:rsidRPr="006A28BC">
        <w:rPr>
          <w:spacing w:val="-4"/>
        </w:rPr>
        <w:t xml:space="preserve"> designa o total acumulado de Máximo de Minutos Disponíveis durante o qual uma WAN Virtual do Azure está indisponível. Um determinado minuto é considerado indisponível se todas as tentativas de ligação ao WAN Virtual do Azure, durante esse minuto falharem.</w:t>
      </w:r>
    </w:p>
    <w:p w14:paraId="29C45C18" w14:textId="7A7B4D3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3A4F939" w14:textId="08CECF87" w:rsidR="004005AF" w:rsidRPr="00EF7CF9" w:rsidRDefault="00000000" w:rsidP="00EC72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AF9D3DA" w14:textId="0B0D4954"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29481B"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277097">
        <w:tc>
          <w:tcPr>
            <w:tcW w:w="5400" w:type="dxa"/>
          </w:tcPr>
          <w:p w14:paraId="5C964DF3" w14:textId="77777777" w:rsidR="004005AF" w:rsidRPr="005A3C16" w:rsidRDefault="004005AF" w:rsidP="00F01ED6">
            <w:pPr>
              <w:pStyle w:val="ProductList-OfferingBody"/>
              <w:jc w:val="center"/>
            </w:pPr>
            <w:r>
              <w:t>&lt; 99,95%</w:t>
            </w:r>
          </w:p>
        </w:tc>
        <w:tc>
          <w:tcPr>
            <w:tcW w:w="5400" w:type="dxa"/>
          </w:tcPr>
          <w:p w14:paraId="0D394EBA" w14:textId="77777777" w:rsidR="004005AF" w:rsidRPr="005A3C16" w:rsidRDefault="004005AF" w:rsidP="00F01ED6">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F01ED6">
            <w:pPr>
              <w:pStyle w:val="ProductList-OfferingBody"/>
              <w:jc w:val="center"/>
            </w:pPr>
            <w:r>
              <w:t>&lt; 99%</w:t>
            </w:r>
          </w:p>
        </w:tc>
        <w:tc>
          <w:tcPr>
            <w:tcW w:w="5400" w:type="dxa"/>
          </w:tcPr>
          <w:p w14:paraId="1ED27CD7" w14:textId="77777777" w:rsidR="004005AF" w:rsidRPr="005A3C16" w:rsidRDefault="004005AF" w:rsidP="00F01ED6">
            <w:pPr>
              <w:pStyle w:val="ProductList-OfferingBody"/>
              <w:jc w:val="center"/>
            </w:pPr>
            <w:r>
              <w:t>25%</w:t>
            </w:r>
          </w:p>
        </w:tc>
      </w:tr>
    </w:tbl>
    <w:bookmarkStart w:id="416" w:name="_Toc11149692"/>
    <w:bookmarkStart w:id="417" w:name="_Toc52348995"/>
    <w:bookmarkStart w:id="418" w:name="VisualStudioAppCenter_BuildService"/>
    <w:bookmarkStart w:id="419" w:name="_Hlk496874584"/>
    <w:bookmarkStart w:id="420" w:name="_Toc457821588"/>
    <w:bookmarkStart w:id="421" w:name="_Hlk496876971"/>
    <w:bookmarkStart w:id="422" w:name="VisualStudioTeamServices_BuildService"/>
    <w:bookmarkEnd w:id="339"/>
    <w:p w14:paraId="7A5B0AF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6827D04" w14:textId="77777777" w:rsidR="003B335C" w:rsidRPr="003B335C" w:rsidRDefault="003B335C" w:rsidP="00840862">
      <w:pPr>
        <w:pStyle w:val="ProductList-Offering2Heading"/>
        <w:keepNext/>
        <w:outlineLvl w:val="2"/>
      </w:pPr>
      <w:bookmarkStart w:id="423" w:name="_Toc214456884"/>
      <w:r>
        <w:t>Azure VMware Solution</w:t>
      </w:r>
      <w:bookmarkEnd w:id="423"/>
    </w:p>
    <w:p w14:paraId="6A14F68D" w14:textId="77777777" w:rsidR="002B538C" w:rsidRPr="00C51C89" w:rsidRDefault="002B538C" w:rsidP="002B538C">
      <w:pPr>
        <w:pStyle w:val="ProductList-Body"/>
        <w:rPr>
          <w:rFonts w:ascii="Calibri" w:hAnsi="Calibri" w:cs="Calibri"/>
          <w:b/>
          <w:color w:val="00188F"/>
        </w:rPr>
      </w:pPr>
      <w:r>
        <w:rPr>
          <w:rFonts w:ascii="Calibri" w:hAnsi="Calibri" w:cs="Calibri"/>
          <w:b/>
          <w:color w:val="00188F"/>
        </w:rPr>
        <w:t>Requisitos Adicionais</w:t>
      </w:r>
    </w:p>
    <w:p w14:paraId="41437A41" w14:textId="77777777" w:rsidR="002B538C" w:rsidRPr="00C25966" w:rsidRDefault="002B538C" w:rsidP="002B538C">
      <w:pPr>
        <w:pStyle w:val="ProductList-Body"/>
        <w:rPr>
          <w:rFonts w:ascii="Calibri" w:hAnsi="Calibri" w:cs="Calibri"/>
        </w:rPr>
      </w:pPr>
      <w:r>
        <w:rPr>
          <w:rFonts w:ascii="Calibri" w:hAnsi="Calibri" w:cs="Calibri"/>
        </w:rPr>
        <w:t>O cliente é obrigado a manter uma configuração mínima de todo o armazenamento da máquina virtual, incluindo:</w:t>
      </w:r>
    </w:p>
    <w:p w14:paraId="54B5F331"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Para clusters padrão: Se o setor tiver entre 3 e 5 anfitriões, o número de falhas a tolerar = 1; e quando o grupo tiver entre 6 e 16 anfitriões, o número de falhas a tolerar = 2.</w:t>
      </w:r>
    </w:p>
    <w:p w14:paraId="633F8800"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Para clusters dispersos: É implementado um mínimo de 6 nós no cluster (3 em cada zona de disponibilidade) e é necessário ter uma política de armazenamento de máquinas virtuais mínima de (i) nível primário de falhas a tolerar de </w:t>
      </w:r>
      <w:r w:rsidRPr="00B24DA4">
        <w:rPr>
          <w:rFonts w:ascii="Calibri" w:hAnsi="Calibri" w:cs="Calibri"/>
        </w:rPr>
        <w:t>“</w:t>
      </w:r>
      <w:r>
        <w:rPr>
          <w:rFonts w:ascii="Calibri" w:hAnsi="Calibri" w:cs="Calibri"/>
        </w:rPr>
        <w:t>Espelhamento de Site Duplo</w:t>
      </w:r>
      <w:r w:rsidRPr="00B24DA4">
        <w:rPr>
          <w:rFonts w:ascii="Calibri" w:hAnsi="Calibri" w:cs="Calibri"/>
        </w:rPr>
        <w:t>”</w:t>
      </w:r>
      <w:r>
        <w:rPr>
          <w:rFonts w:ascii="Calibri" w:hAnsi="Calibri" w:cs="Calibri"/>
        </w:rPr>
        <w:t xml:space="preserve"> e (ii) é utilizado um nível secundário de falhas a tolerar de 1 pelas máquinas virtuais de carga de trabalho.</w:t>
      </w:r>
    </w:p>
    <w:p w14:paraId="175142BE"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A capacidade de armazenamento para o cluster retém um espaço desperdiçado disponível de 25% (conforme descrito no </w:t>
      </w:r>
      <w:r>
        <w:fldChar w:fldCharType="begin"/>
      </w:r>
      <w:r>
        <w:instrText>HYPERLINK "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\l "GUID-C0B73B38-F68D-4D7C-BCF4-67CCD1E9875A-en"</w:instrText>
      </w:r>
      <w:r>
        <w:fldChar w:fldCharType="separate"/>
      </w:r>
      <w:r>
        <w:rPr>
          <w:rStyle w:val="Hyperlink"/>
          <w:rFonts w:ascii="Calibri" w:hAnsi="Calibri" w:cs="Calibri"/>
        </w:rPr>
        <w:t>guia de armazenamento vSAN</w:t>
      </w:r>
      <w:r>
        <w:fldChar w:fldCharType="end"/>
      </w:r>
      <w:r>
        <w:rPr>
          <w:rFonts w:ascii="Calibri" w:hAnsi="Calibri" w:cs="Calibri"/>
        </w:rPr>
        <w:t>).</w:t>
      </w:r>
    </w:p>
    <w:p w14:paraId="237A253A"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O cliente não realizou quaisquer ações no modo Privilégio Elevado que impeçam a Microsoft de cumprir o Compromisso de Disponibilidade.</w:t>
      </w:r>
    </w:p>
    <w:p w14:paraId="1FF2F05F"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Existe capacidade suficiente no setor para suportar a Ligação de uma máquina virtual.</w:t>
      </w:r>
    </w:p>
    <w:p w14:paraId="45FC3F3C"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manutenção programada é excluída do total dos cálculos do período de disponibilidade disponíveis.</w:t>
      </w:r>
    </w:p>
    <w:p w14:paraId="7912A8A6" w14:textId="77777777" w:rsidR="002B538C" w:rsidRPr="00975B85" w:rsidRDefault="002B538C" w:rsidP="00427A58">
      <w:pPr>
        <w:pStyle w:val="ProductList-Body"/>
        <w:rPr>
          <w:rFonts w:ascii="Calibri" w:hAnsi="Calibri" w:cs="Calibri"/>
          <w:b/>
          <w:color w:val="00188F"/>
        </w:rPr>
      </w:pPr>
      <w:r>
        <w:rPr>
          <w:rFonts w:ascii="Calibri" w:hAnsi="Calibri" w:cs="Calibri"/>
          <w:b/>
          <w:color w:val="00188F"/>
        </w:rPr>
        <w:t>Definições Adicionais</w:t>
      </w:r>
    </w:p>
    <w:p w14:paraId="5BDCEFEC" w14:textId="77777777" w:rsidR="002B538C" w:rsidRPr="00975B85" w:rsidRDefault="002B538C" w:rsidP="002B538C">
      <w:pPr>
        <w:pStyle w:val="ProductList-Body"/>
        <w:rPr>
          <w:rFonts w:ascii="Calibri" w:hAnsi="Calibri" w:cs="Calibri"/>
          <w:b/>
          <w:color w:val="00188F"/>
        </w:rPr>
      </w:pPr>
      <w:r>
        <w:rPr>
          <w:rFonts w:ascii="Calibri" w:hAnsi="Calibri" w:cs="Calibri"/>
          <w:b/>
          <w:color w:val="00188F"/>
        </w:rPr>
        <w:t>Cálculo do Período de Disponibilidade e Níveis de Serviço para a Infraestrutura de Carga de Trabalho do Azure VMware Solution</w:t>
      </w:r>
    </w:p>
    <w:p w14:paraId="45ED283F" w14:textId="77777777" w:rsidR="002B538C" w:rsidRPr="00975B85" w:rsidRDefault="002B538C" w:rsidP="002B538C">
      <w:pPr>
        <w:pStyle w:val="ProductList-Body"/>
        <w:rPr>
          <w:rFonts w:ascii="Calibri" w:hAnsi="Calibri" w:cs="Calibri"/>
        </w:rPr>
      </w:pPr>
      <w:r w:rsidRPr="00A84407">
        <w:rPr>
          <w:rFonts w:ascii="Calibri" w:hAnsi="Calibri" w:cs="Calibri"/>
          <w:b/>
          <w:color w:val="00188F"/>
        </w:rPr>
        <w:t>“</w:t>
      </w:r>
      <w:r>
        <w:rPr>
          <w:rFonts w:ascii="Calibri" w:hAnsi="Calibri" w:cs="Calibri"/>
          <w:b/>
          <w:color w:val="00188F"/>
        </w:rPr>
        <w:t>Máximo de Minutos Disponíveis</w:t>
      </w:r>
      <w:r w:rsidRPr="00A84407">
        <w:rPr>
          <w:rFonts w:ascii="Calibri" w:hAnsi="Calibri" w:cs="Calibri"/>
          <w:b/>
          <w:color w:val="00188F"/>
        </w:rPr>
        <w:t>”</w:t>
      </w:r>
      <w:r>
        <w:rPr>
          <w:rFonts w:ascii="Calibri" w:hAnsi="Calibri" w:cs="Calibri"/>
        </w:rPr>
        <w:t xml:space="preserve"> designa o total de minutos acumulados durante um Período Aplicável para todas as máquinas virtuais num cluster de VMware vSphere, durante o qual a Solução VMware do Azure esteve implementada numa subscrição do Microsoft Azure.</w:t>
      </w:r>
    </w:p>
    <w:p w14:paraId="362DC7DD" w14:textId="77777777" w:rsidR="002B538C" w:rsidRPr="00975B85" w:rsidRDefault="002B538C" w:rsidP="002B538C">
      <w:pPr>
        <w:pStyle w:val="ProductList-Body"/>
        <w:tabs>
          <w:tab w:val="clear" w:pos="360"/>
          <w:tab w:val="clear" w:pos="720"/>
          <w:tab w:val="clear" w:pos="1080"/>
        </w:tabs>
        <w:rPr>
          <w:rFonts w:ascii="Calibri" w:hAnsi="Calibri" w:cs="Calibri"/>
        </w:rPr>
      </w:pPr>
      <w:r w:rsidRPr="00A84407">
        <w:rPr>
          <w:rFonts w:ascii="Calibri" w:hAnsi="Calibri" w:cs="Calibri"/>
          <w:b/>
          <w:color w:val="00188F"/>
        </w:rPr>
        <w:t>“</w:t>
      </w:r>
      <w:r>
        <w:rPr>
          <w:rFonts w:ascii="Calibri" w:hAnsi="Calibri" w:cs="Calibri"/>
          <w:b/>
          <w:color w:val="00188F"/>
        </w:rPr>
        <w:t>Período de Indisponibilidade</w:t>
      </w:r>
      <w:r w:rsidRPr="00A84407">
        <w:rPr>
          <w:rFonts w:ascii="Calibri" w:hAnsi="Calibri" w:cs="Calibri"/>
          <w:b/>
          <w:color w:val="00188F"/>
        </w:rPr>
        <w:t>”</w:t>
      </w:r>
      <w:r>
        <w:rPr>
          <w:rFonts w:ascii="Calibri" w:hAnsi="Calibri" w:cs="Calibri"/>
        </w:rPr>
        <w:t xml:space="preserve"> designa o total acumulado de Máximo de Minutos Disponíveis durante um Período Aplicável de um determinado cluster de VMware vSphere, durante o qual o Serviço está indisponível. Considera-se que um determinado minuto está indisponível se se verificar qualquer uma das seguintes situações:</w:t>
      </w:r>
    </w:p>
    <w:p w14:paraId="15592DFF" w14:textId="77777777" w:rsidR="002B538C" w:rsidRPr="00975B85"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Todas as máquinas virtuais de um setor em execução não tiverem qualquer conectividade durante quatro minutos consecutivos.</w:t>
      </w:r>
    </w:p>
    <w:p w14:paraId="194658C5" w14:textId="77777777" w:rsidR="002B538C" w:rsidRPr="00975B85"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Nenhuma das máquinas virtuais conseguir aceder ao armazenamento durante quatro minutos consecutivos.</w:t>
      </w:r>
    </w:p>
    <w:p w14:paraId="3AC83BD5" w14:textId="77777777" w:rsidR="002B538C" w:rsidRPr="00975B85"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Nenhuma das máquinas virtuais puder ser iniciada durante quatro minutos consecutivos.</w:t>
      </w:r>
    </w:p>
    <w:p w14:paraId="2EAC320C" w14:textId="77777777" w:rsidR="002B538C" w:rsidRPr="00F10635" w:rsidRDefault="002B538C" w:rsidP="002B538C">
      <w:pPr>
        <w:pStyle w:val="ProductList-Body"/>
      </w:pPr>
      <w:r w:rsidRPr="00A84407">
        <w:rPr>
          <w:rFonts w:ascii="Calibri" w:hAnsi="Calibri" w:cs="Calibri"/>
          <w:b/>
          <w:color w:val="00188F"/>
        </w:rPr>
        <w:t>“</w:t>
      </w:r>
      <w:r>
        <w:rPr>
          <w:rFonts w:ascii="Calibri" w:hAnsi="Calibri" w:cs="Calibri"/>
          <w:b/>
          <w:color w:val="00188F"/>
        </w:rPr>
        <w:t>Percentagem de Período de Disponibilidade</w:t>
      </w:r>
      <w:r w:rsidRPr="00A84407">
        <w:rPr>
          <w:rFonts w:ascii="Calibri" w:hAnsi="Calibri" w:cs="Calibri"/>
          <w:b/>
          <w:color w:val="00188F"/>
        </w:rPr>
        <w:t>”</w:t>
      </w:r>
      <w:r>
        <w:t xml:space="preserve"> </w:t>
      </w:r>
      <w:r>
        <w:rPr>
          <w:rFonts w:ascii="Calibri" w:hAnsi="Calibri" w:cs="Calibri"/>
        </w:rPr>
        <w:t>A Percentagem de Período de Disponibilidade é calculada com a seguinte fórmula:</w:t>
      </w:r>
    </w:p>
    <w:p w14:paraId="2D64E604" w14:textId="77777777" w:rsidR="002B538C" w:rsidRPr="00F10635" w:rsidRDefault="00000000" w:rsidP="00357FC6">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Máximo de Minutos Disponíveis - Período de Indisponibilidade</m:t>
              </m:r>
            </m:num>
            <m:den>
              <m:r>
                <w:rPr>
                  <w:rFonts w:ascii="Cambria Math" w:hAnsi="Cambria Math"/>
                  <w:color w:val="000000" w:themeColor="text1"/>
                  <w:sz w:val="18"/>
                </w:rPr>
                <m:t>Máximo de Minutos Disponíveis</m:t>
              </m:r>
            </m:den>
          </m:f>
          <m:r>
            <w:rPr>
              <w:rFonts w:ascii="Cambria Math" w:hAnsi="Cambria Math"/>
              <w:color w:val="000000" w:themeColor="text1"/>
              <w:sz w:val="18"/>
            </w:rPr>
            <m:t xml:space="preserve"> x 100</m:t>
          </m:r>
        </m:oMath>
      </m:oMathPara>
    </w:p>
    <w:p w14:paraId="12D8EAD1" w14:textId="77777777" w:rsidR="002B538C" w:rsidRPr="00F44E97" w:rsidRDefault="002B538C" w:rsidP="002B538C">
      <w:pPr>
        <w:pStyle w:val="ProductList-Body"/>
        <w:rPr>
          <w:rFonts w:ascii="Calibri" w:hAnsi="Calibri" w:cs="Calibri"/>
          <w:b/>
          <w:color w:val="00188F"/>
        </w:rPr>
      </w:pPr>
      <w:r>
        <w:rPr>
          <w:rFonts w:ascii="Calibri" w:hAnsi="Calibri" w:cs="Calibri"/>
          <w:b/>
          <w:color w:val="00188F"/>
        </w:rPr>
        <w:t>Crédito de Serviço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2B538C" w14:paraId="74CFDD3B" w14:textId="77777777" w:rsidTr="00C33532">
        <w:trPr>
          <w:tblHeader/>
        </w:trPr>
        <w:tc>
          <w:tcPr>
            <w:tcW w:w="5310" w:type="dxa"/>
            <w:shd w:val="clear" w:color="auto" w:fill="0072C6"/>
          </w:tcPr>
          <w:p w14:paraId="26B512B8" w14:textId="77777777" w:rsidR="002B538C" w:rsidRPr="00D768A9" w:rsidRDefault="002B538C"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310" w:type="dxa"/>
            <w:shd w:val="clear" w:color="auto" w:fill="0072C6"/>
          </w:tcPr>
          <w:p w14:paraId="0B9BD891" w14:textId="77777777" w:rsidR="002B538C" w:rsidRPr="00D768A9" w:rsidRDefault="002B538C"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2B538C" w14:paraId="07B9CA1B" w14:textId="77777777" w:rsidTr="00C33532">
        <w:tc>
          <w:tcPr>
            <w:tcW w:w="5310" w:type="dxa"/>
          </w:tcPr>
          <w:p w14:paraId="6567273A"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&lt; 99,9% para clusters padrão</w:t>
            </w:r>
          </w:p>
        </w:tc>
        <w:tc>
          <w:tcPr>
            <w:tcW w:w="5310" w:type="dxa"/>
          </w:tcPr>
          <w:p w14:paraId="4158D395"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10%</w:t>
            </w:r>
          </w:p>
        </w:tc>
      </w:tr>
      <w:tr w:rsidR="002B538C" w14:paraId="755EB70A" w14:textId="77777777" w:rsidTr="00C33532">
        <w:trPr>
          <w:trHeight w:val="215"/>
        </w:trPr>
        <w:tc>
          <w:tcPr>
            <w:tcW w:w="5310" w:type="dxa"/>
          </w:tcPr>
          <w:p w14:paraId="7D8B3284"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&lt; 99,99% para clusters dispersos</w:t>
            </w:r>
          </w:p>
        </w:tc>
        <w:tc>
          <w:tcPr>
            <w:tcW w:w="5310" w:type="dxa"/>
          </w:tcPr>
          <w:p w14:paraId="601DE172"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10%</w:t>
            </w:r>
          </w:p>
        </w:tc>
      </w:tr>
      <w:tr w:rsidR="002B538C" w14:paraId="781F3DCE" w14:textId="77777777" w:rsidTr="00C33532">
        <w:tc>
          <w:tcPr>
            <w:tcW w:w="5310" w:type="dxa"/>
          </w:tcPr>
          <w:p w14:paraId="4DA0F8A9"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&lt; 99% para qualquer cluster</w:t>
            </w:r>
          </w:p>
        </w:tc>
        <w:tc>
          <w:tcPr>
            <w:tcW w:w="5310" w:type="dxa"/>
          </w:tcPr>
          <w:p w14:paraId="33705951"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25%</w:t>
            </w:r>
          </w:p>
        </w:tc>
      </w:tr>
    </w:tbl>
    <w:p w14:paraId="61930FAE" w14:textId="77777777" w:rsidR="002B538C" w:rsidRPr="00975B85" w:rsidRDefault="002B538C" w:rsidP="002B538C">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ferramentas de Gestão de VMware do Azure</w:t>
      </w:r>
    </w:p>
    <w:p w14:paraId="61CD6C30" w14:textId="77777777" w:rsidR="002B538C" w:rsidRPr="00975B85" w:rsidRDefault="002B538C" w:rsidP="002B538C">
      <w:pPr>
        <w:pStyle w:val="ProductList-Body"/>
        <w:rPr>
          <w:rFonts w:ascii="Calibri" w:hAnsi="Calibri" w:cs="Calibri"/>
        </w:rPr>
      </w:pPr>
      <w:r w:rsidRPr="00A84407">
        <w:rPr>
          <w:rFonts w:ascii="Calibri" w:hAnsi="Calibri" w:cs="Calibri"/>
          <w:b/>
          <w:color w:val="00188F"/>
        </w:rPr>
        <w:t>“</w:t>
      </w:r>
      <w:r>
        <w:rPr>
          <w:rFonts w:ascii="Calibri" w:hAnsi="Calibri" w:cs="Calibri"/>
          <w:b/>
          <w:color w:val="00188F"/>
        </w:rPr>
        <w:t>Máximo de Minutos Disponíveis</w:t>
      </w:r>
      <w:r w:rsidRPr="00A84407">
        <w:rPr>
          <w:rFonts w:ascii="Calibri" w:hAnsi="Calibri" w:cs="Calibri"/>
          <w:b/>
          <w:color w:val="00188F"/>
        </w:rPr>
        <w:t>”</w:t>
      </w:r>
      <w:r>
        <w:rPr>
          <w:rFonts w:ascii="Calibri" w:hAnsi="Calibri" w:cs="Calibri"/>
        </w:rPr>
        <w:t xml:space="preserve"> designa o total acumulado de minutos durante um Período Aplicável para um determinado cluster de VMware vSphere, durante o qual as ferramentas de gestão do VMware do Azure foram implementadas numa subscrição do Microsoft Azure.</w:t>
      </w:r>
    </w:p>
    <w:p w14:paraId="20BC4F72" w14:textId="77777777" w:rsidR="002B538C" w:rsidRPr="00975B85" w:rsidRDefault="002B538C" w:rsidP="002B538C">
      <w:pPr>
        <w:pStyle w:val="ProductList-Body"/>
        <w:rPr>
          <w:rFonts w:ascii="Calibri" w:hAnsi="Calibri" w:cs="Calibri"/>
        </w:rPr>
      </w:pPr>
      <w:r w:rsidRPr="00A84407">
        <w:rPr>
          <w:rFonts w:ascii="Calibri" w:hAnsi="Calibri" w:cs="Calibri"/>
          <w:b/>
          <w:color w:val="00188F"/>
        </w:rPr>
        <w:t>“</w:t>
      </w:r>
      <w:r>
        <w:rPr>
          <w:rFonts w:ascii="Calibri" w:hAnsi="Calibri" w:cs="Calibri"/>
          <w:b/>
          <w:color w:val="00188F"/>
        </w:rPr>
        <w:t>Período de Indisponibilidade</w:t>
      </w:r>
      <w:r w:rsidRPr="00A84407">
        <w:rPr>
          <w:rFonts w:ascii="Calibri" w:hAnsi="Calibri" w:cs="Calibri"/>
          <w:b/>
          <w:color w:val="00188F"/>
        </w:rPr>
        <w:t>”</w:t>
      </w:r>
      <w:r>
        <w:rPr>
          <w:rFonts w:ascii="Calibri" w:hAnsi="Calibri" w:cs="Calibri"/>
        </w:rPr>
        <w:t xml:space="preserve"> designa o total acumulado do Máximo de Minutos Disponíveis durante um Período Aplicável para um determinado cluster de VMware vSphere, durante o qual os Serviços de Gestão (vCenter Server e NSX Manager) estão indisponíveis. Considera-se que um determinado minuto está indisponível se se verificar qualquer uma das seguintes situações:</w:t>
      </w:r>
    </w:p>
    <w:p w14:paraId="7340925E" w14:textId="77777777" w:rsidR="002B538C" w:rsidRPr="00975B85" w:rsidRDefault="002B538C" w:rsidP="002B538C">
      <w:pPr>
        <w:pStyle w:val="ProductList-Body"/>
        <w:numPr>
          <w:ilvl w:val="0"/>
          <w:numId w:val="26"/>
        </w:numPr>
        <w:rPr>
          <w:rFonts w:ascii="Calibri" w:hAnsi="Calibri" w:cs="Calibri"/>
        </w:rPr>
      </w:pPr>
      <w:r>
        <w:rPr>
          <w:rFonts w:ascii="Calibri" w:hAnsi="Calibri" w:cs="Calibri"/>
        </w:rPr>
        <w:lastRenderedPageBreak/>
        <w:t>O vCenter Server não tem qualquer conectividade durante quatro minutos consecutivos.</w:t>
      </w:r>
    </w:p>
    <w:p w14:paraId="0F3C04B5" w14:textId="77777777" w:rsidR="002B538C" w:rsidRPr="00975B85" w:rsidRDefault="002B538C" w:rsidP="002B538C">
      <w:pPr>
        <w:pStyle w:val="ProductList-Body"/>
        <w:numPr>
          <w:ilvl w:val="0"/>
          <w:numId w:val="26"/>
        </w:numPr>
        <w:rPr>
          <w:rFonts w:ascii="Calibri" w:hAnsi="Calibri" w:cs="Calibri"/>
        </w:rPr>
      </w:pPr>
      <w:r>
        <w:rPr>
          <w:rFonts w:ascii="Calibri" w:hAnsi="Calibri" w:cs="Calibri"/>
        </w:rPr>
        <w:t>O NSX Manager não tem qualquer conectividade durante quatro minutos consecutivos.</w:t>
      </w:r>
    </w:p>
    <w:p w14:paraId="7E4C2823" w14:textId="146504BA" w:rsidR="003B335C" w:rsidRDefault="00380305" w:rsidP="00F01ED6">
      <w:pPr>
        <w:pStyle w:val="ProductList-Body"/>
      </w:pPr>
      <w:r>
        <w:t>“</w:t>
      </w:r>
      <w:r w:rsidR="003B335C">
        <w:rPr>
          <w:b/>
          <w:bCs/>
          <w:color w:val="00188F"/>
        </w:rPr>
        <w:t>Percentagem de Período de Disponibilidade</w:t>
      </w:r>
      <w:r>
        <w:t>”</w:t>
      </w:r>
      <w:r w:rsidR="003B335C">
        <w:t xml:space="preserve"> A Percentagem de Período de Disponibilidade é calculada utilizando a seguinte fórmula:</w:t>
      </w:r>
    </w:p>
    <w:p w14:paraId="1F98E7A5" w14:textId="378F3134" w:rsidR="0087490E" w:rsidRPr="0048402F" w:rsidRDefault="00000000" w:rsidP="00AD1888">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6CCB8FB" w14:textId="77777777" w:rsidR="0087490E" w:rsidRPr="005A3C16" w:rsidRDefault="0087490E" w:rsidP="00F01ED6">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277097">
        <w:tc>
          <w:tcPr>
            <w:tcW w:w="5400" w:type="dxa"/>
          </w:tcPr>
          <w:p w14:paraId="57DEA1AF" w14:textId="77777777" w:rsidR="0087490E" w:rsidRPr="005A3C16" w:rsidRDefault="0087490E" w:rsidP="00F01ED6">
            <w:pPr>
              <w:pStyle w:val="ProductList-OfferingBody"/>
              <w:jc w:val="center"/>
            </w:pPr>
            <w:r>
              <w:t>&lt; 99,9%</w:t>
            </w:r>
          </w:p>
        </w:tc>
        <w:tc>
          <w:tcPr>
            <w:tcW w:w="5400" w:type="dxa"/>
          </w:tcPr>
          <w:p w14:paraId="12EDA4F2" w14:textId="77777777" w:rsidR="0087490E" w:rsidRPr="005A3C16" w:rsidRDefault="0087490E" w:rsidP="00F01ED6">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F01ED6">
            <w:pPr>
              <w:pStyle w:val="ProductList-OfferingBody"/>
              <w:jc w:val="center"/>
            </w:pPr>
            <w:r>
              <w:t>&lt; 99%</w:t>
            </w:r>
          </w:p>
        </w:tc>
        <w:tc>
          <w:tcPr>
            <w:tcW w:w="5400" w:type="dxa"/>
          </w:tcPr>
          <w:p w14:paraId="54AFB53A" w14:textId="77777777" w:rsidR="0087490E" w:rsidRPr="005A3C16" w:rsidRDefault="0087490E" w:rsidP="00F01ED6">
            <w:pPr>
              <w:pStyle w:val="ProductList-OfferingBody"/>
              <w:jc w:val="center"/>
            </w:pPr>
            <w:r>
              <w:t>25%</w:t>
            </w:r>
          </w:p>
        </w:tc>
      </w:tr>
    </w:tbl>
    <w:p w14:paraId="3312AE0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030F3AE" w14:textId="77777777" w:rsidR="00111EE9" w:rsidRPr="00DC1476" w:rsidRDefault="00111EE9" w:rsidP="00F01ED6">
      <w:pPr>
        <w:pStyle w:val="ProductList-Offering2Heading"/>
        <w:keepNext/>
        <w:outlineLvl w:val="2"/>
        <w:rPr>
          <w:lang w:val="en-IN"/>
        </w:rPr>
      </w:pPr>
      <w:bookmarkStart w:id="424" w:name="_Toc214456885"/>
      <w:r w:rsidRPr="00DC1476">
        <w:rPr>
          <w:lang w:val="en-IN"/>
        </w:rPr>
        <w:t xml:space="preserve">Azure VMware Solution by </w:t>
      </w:r>
      <w:proofErr w:type="spellStart"/>
      <w:r w:rsidRPr="00DC1476">
        <w:rPr>
          <w:lang w:val="en-IN"/>
        </w:rPr>
        <w:t>CloudSimple</w:t>
      </w:r>
      <w:bookmarkEnd w:id="424"/>
      <w:proofErr w:type="spellEnd"/>
    </w:p>
    <w:p w14:paraId="11011C87" w14:textId="77777777" w:rsidR="00111EE9" w:rsidRPr="00111EE9" w:rsidRDefault="00111EE9" w:rsidP="00F01ED6">
      <w:pPr>
        <w:pStyle w:val="ProductList-Body"/>
        <w:rPr>
          <w:b/>
          <w:bCs/>
          <w:color w:val="00188F"/>
        </w:rPr>
      </w:pPr>
      <w:r>
        <w:rPr>
          <w:b/>
          <w:bCs/>
          <w:color w:val="00188F"/>
        </w:rPr>
        <w:t>Requisitos Adicionais</w:t>
      </w:r>
    </w:p>
    <w:p w14:paraId="72B01100" w14:textId="77777777" w:rsidR="00111EE9" w:rsidRDefault="00111EE9" w:rsidP="00F01ED6">
      <w:pPr>
        <w:pStyle w:val="ProductList-Body"/>
      </w:pPr>
      <w:r>
        <w:t>O cliente é obrigado a manter uma configuração mínima de todo o armazenamento da máquina virtual da seguinte forma:</w:t>
      </w:r>
    </w:p>
    <w:p w14:paraId="12FA0843" w14:textId="7F744018" w:rsidR="00111EE9" w:rsidRDefault="00111EE9" w:rsidP="00F01ED6">
      <w:pPr>
        <w:pStyle w:val="ProductList-Body"/>
        <w:numPr>
          <w:ilvl w:val="0"/>
          <w:numId w:val="27"/>
        </w:numPr>
      </w:pPr>
      <w:r>
        <w:t>Se o setor tiver entre 3 e 5 anfitriões, os números de falhas a tolerar = 1; e quando o grupo tiver entre 6 e 32 anfitriões, o número de</w:t>
      </w:r>
      <w:r w:rsidR="00040DA8">
        <w:t> </w:t>
      </w:r>
      <w:r>
        <w:t>falhas a tolerar = 2</w:t>
      </w:r>
    </w:p>
    <w:p w14:paraId="1D1BBE52" w14:textId="03A08F0E" w:rsidR="00111EE9" w:rsidRDefault="00111EE9" w:rsidP="00F01ED6">
      <w:pPr>
        <w:pStyle w:val="ProductList-Body"/>
        <w:numPr>
          <w:ilvl w:val="0"/>
          <w:numId w:val="27"/>
        </w:numPr>
      </w:pPr>
      <w:r>
        <w:t xml:space="preserve">A capacidade de armazenamento para o setor retém um espaço desperdiçado disponível de 25% (conforme descrito no guia de armazenamento VSAN) </w:t>
      </w:r>
      <w:hyperlink r:id="rId21" w:history="1">
        <w:r>
          <w:rPr>
            <w:rStyle w:val="Hyperlink"/>
          </w:rPr>
          <w:t>https://docs.vmware.com/en/VMware-vSphere/6.7/vsan-671-administration-guide.pdf</w:t>
        </w:r>
      </w:hyperlink>
    </w:p>
    <w:p w14:paraId="4C610A4F" w14:textId="0B67B1D5" w:rsidR="00111EE9" w:rsidRDefault="00111EE9" w:rsidP="00F01ED6">
      <w:pPr>
        <w:pStyle w:val="ProductList-Body"/>
        <w:numPr>
          <w:ilvl w:val="0"/>
          <w:numId w:val="27"/>
        </w:numPr>
      </w:pPr>
      <w:r>
        <w:t>Existe capacidade suficiente no setor para suportar o início de uma máquina virtual e o cliente não realizou quaisquer ações no modo de</w:t>
      </w:r>
      <w:r w:rsidR="00040DA8">
        <w:t> </w:t>
      </w:r>
      <w:r>
        <w:t>privilégio escalado que impeçam o fornecedor de cumprir o Compromisso de Disponibilidade.</w:t>
      </w:r>
    </w:p>
    <w:p w14:paraId="41D54D38" w14:textId="419CC854" w:rsidR="00111EE9" w:rsidRDefault="00111EE9" w:rsidP="00F01ED6">
      <w:pPr>
        <w:pStyle w:val="ProductList-Body"/>
        <w:numPr>
          <w:ilvl w:val="0"/>
          <w:numId w:val="27"/>
        </w:numPr>
      </w:pPr>
      <w:r>
        <w:t>A manutenção programada é excluída do total dos cálculos do período de disponibilidade disponível</w:t>
      </w:r>
    </w:p>
    <w:p w14:paraId="2F0032FD" w14:textId="77777777" w:rsidR="00111EE9" w:rsidRPr="0048402F" w:rsidRDefault="00111EE9" w:rsidP="00F01ED6">
      <w:pPr>
        <w:pStyle w:val="ProductList-Body"/>
        <w:rPr>
          <w:b/>
          <w:bCs/>
          <w:color w:val="00188F"/>
        </w:rPr>
      </w:pPr>
      <w:r>
        <w:rPr>
          <w:b/>
          <w:bCs/>
          <w:color w:val="00188F"/>
        </w:rPr>
        <w:t>Definições Adicionais</w:t>
      </w:r>
    </w:p>
    <w:p w14:paraId="35B0DEFD" w14:textId="377F9BF5" w:rsidR="00111EE9" w:rsidRPr="0048402F" w:rsidRDefault="00EE6E3C" w:rsidP="00F01ED6">
      <w:pPr>
        <w:pStyle w:val="ProductList-Body"/>
        <w:rPr>
          <w:b/>
          <w:bCs/>
          <w:color w:val="00188F"/>
        </w:rPr>
      </w:pPr>
      <w:r>
        <w:rPr>
          <w:b/>
          <w:bCs/>
          <w:color w:val="00188F"/>
        </w:rPr>
        <w:t>Cálculo do Período de Disponibilidade e Níveis de Serviço para a Infraestrutura de Carga de Trabalho das Soluções VMware do Azure</w:t>
      </w:r>
    </w:p>
    <w:p w14:paraId="5D6769E6" w14:textId="1A3EE32A" w:rsidR="00111EE9" w:rsidRDefault="00380305" w:rsidP="00F01ED6">
      <w:pPr>
        <w:pStyle w:val="ProductList-Body"/>
      </w:pPr>
      <w:r>
        <w:t>“</w:t>
      </w:r>
      <w:r w:rsidR="00111EE9">
        <w:rPr>
          <w:b/>
          <w:bCs/>
          <w:color w:val="00188F"/>
        </w:rPr>
        <w:t>Máximo de Minutos Disponíveis</w:t>
      </w:r>
      <w:r>
        <w:t>”</w:t>
      </w:r>
      <w:r w:rsidR="00111EE9">
        <w:t xml:space="preserve"> designa o total de minutos acumulados durante um Período Aplicável para todas as máquinas virtuais de</w:t>
      </w:r>
      <w:r w:rsidR="00CE018F">
        <w:t> </w:t>
      </w:r>
      <w:r w:rsidR="00111EE9">
        <w:t>um</w:t>
      </w:r>
      <w:r w:rsidR="00CE018F">
        <w:t> </w:t>
      </w:r>
      <w:r w:rsidR="00111EE9">
        <w:t>cluster de VMware, em que foram implementadas as Soluções VMware do Azure numa subscrição do Microsoft Azure.</w:t>
      </w:r>
    </w:p>
    <w:p w14:paraId="07E62869" w14:textId="78932D83" w:rsidR="00111EE9" w:rsidRDefault="00380305" w:rsidP="00F01ED6">
      <w:pPr>
        <w:pStyle w:val="ProductList-Body"/>
      </w:pPr>
      <w:r>
        <w:t>“</w:t>
      </w:r>
      <w:r w:rsidR="00111EE9">
        <w:rPr>
          <w:b/>
          <w:bCs/>
          <w:color w:val="00188F"/>
        </w:rPr>
        <w:t>Período de Indisponibilidade</w:t>
      </w:r>
      <w:r>
        <w:t>”</w:t>
      </w:r>
      <w:r w:rsidR="00111EE9">
        <w:t xml:space="preserve"> designa o total acumulado de Máximo de Minutos Disponíveis durante um Período Aplicável de um determinado Cluster de VMware no Azure, durante o qual o Serviço está indisponível. Considera-se que um determinado minuto está indisponível se</w:t>
      </w:r>
    </w:p>
    <w:p w14:paraId="228F9330" w14:textId="77777777" w:rsidR="00111EE9" w:rsidRDefault="00111EE9" w:rsidP="00F01ED6">
      <w:pPr>
        <w:pStyle w:val="ProductList-Body"/>
        <w:numPr>
          <w:ilvl w:val="0"/>
          <w:numId w:val="28"/>
        </w:numPr>
      </w:pPr>
      <w:r>
        <w:t>Todas as máquinas virtuais de um setor em execução não tiverem qualquer conectividade durante quatro minutos consecutivos.</w:t>
      </w:r>
    </w:p>
    <w:p w14:paraId="790E6190" w14:textId="77777777" w:rsidR="00111EE9" w:rsidRDefault="00111EE9" w:rsidP="00F01ED6">
      <w:pPr>
        <w:pStyle w:val="ProductList-Body"/>
        <w:numPr>
          <w:ilvl w:val="0"/>
          <w:numId w:val="28"/>
        </w:numPr>
      </w:pPr>
      <w:r>
        <w:t>Nenhuma das máquinas virtuais conseguir aceder ao armazenamento durante quatro minutos consecutivos.</w:t>
      </w:r>
    </w:p>
    <w:p w14:paraId="37C1DC4E" w14:textId="77777777" w:rsidR="00111EE9" w:rsidRDefault="00111EE9" w:rsidP="00F01ED6">
      <w:pPr>
        <w:pStyle w:val="ProductList-Body"/>
        <w:numPr>
          <w:ilvl w:val="0"/>
          <w:numId w:val="28"/>
        </w:numPr>
      </w:pPr>
      <w:r>
        <w:t>Nenhuma das máquinas virtuais puder ser iniciada durante quatro minutos consecutivos.</w:t>
      </w:r>
    </w:p>
    <w:p w14:paraId="232D7414" w14:textId="2CAF36EC"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19F1D4EB" w14:textId="228A3559" w:rsidR="0048402F" w:rsidRPr="00EF7CF9" w:rsidRDefault="00000000" w:rsidP="00AD188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FFE87E"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277097">
        <w:tc>
          <w:tcPr>
            <w:tcW w:w="5400" w:type="dxa"/>
          </w:tcPr>
          <w:p w14:paraId="16C46BA1" w14:textId="77777777" w:rsidR="0048402F" w:rsidRPr="005A3C16" w:rsidRDefault="0048402F" w:rsidP="00F01ED6">
            <w:pPr>
              <w:pStyle w:val="ProductList-OfferingBody"/>
              <w:jc w:val="center"/>
            </w:pPr>
            <w:r>
              <w:t>&lt; 99,9%</w:t>
            </w:r>
          </w:p>
        </w:tc>
        <w:tc>
          <w:tcPr>
            <w:tcW w:w="5400" w:type="dxa"/>
          </w:tcPr>
          <w:p w14:paraId="0861B3A4" w14:textId="77777777" w:rsidR="0048402F" w:rsidRPr="005A3C16" w:rsidRDefault="0048402F" w:rsidP="00F01ED6">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F01ED6">
            <w:pPr>
              <w:pStyle w:val="ProductList-OfferingBody"/>
              <w:jc w:val="center"/>
            </w:pPr>
            <w:r>
              <w:t>&lt; 99%</w:t>
            </w:r>
          </w:p>
        </w:tc>
        <w:tc>
          <w:tcPr>
            <w:tcW w:w="5400" w:type="dxa"/>
          </w:tcPr>
          <w:p w14:paraId="072A8441" w14:textId="1E9FCDF3" w:rsidR="0048402F" w:rsidRPr="005A3C16" w:rsidRDefault="0048402F" w:rsidP="00F01ED6">
            <w:pPr>
              <w:pStyle w:val="ProductList-OfferingBody"/>
              <w:jc w:val="center"/>
            </w:pPr>
            <w:r>
              <w:t>30%</w:t>
            </w:r>
          </w:p>
        </w:tc>
      </w:tr>
    </w:tbl>
    <w:p w14:paraId="7925C666" w14:textId="5E3EECAE" w:rsidR="00111EE9" w:rsidRPr="0048402F" w:rsidRDefault="00EE6E3C" w:rsidP="00592BC4">
      <w:pPr>
        <w:pStyle w:val="ProductList-Body"/>
        <w:spacing w:before="120"/>
        <w:rPr>
          <w:b/>
          <w:bCs/>
          <w:color w:val="00188F"/>
        </w:rPr>
      </w:pPr>
      <w:r>
        <w:rPr>
          <w:b/>
          <w:bCs/>
          <w:color w:val="00188F"/>
        </w:rPr>
        <w:t>Cálculo do Período de Disponibilidade e Níveis de Serviço para as ferramentas de Gestão de VMware do Azure</w:t>
      </w:r>
    </w:p>
    <w:p w14:paraId="39393875" w14:textId="5687FDD4" w:rsidR="00111EE9" w:rsidRDefault="00380305" w:rsidP="00F01ED6">
      <w:pPr>
        <w:pStyle w:val="ProductList-Body"/>
      </w:pPr>
      <w:r>
        <w:t>“</w:t>
      </w:r>
      <w:r w:rsidR="00111EE9">
        <w:rPr>
          <w:b/>
          <w:bCs/>
          <w:color w:val="00188F"/>
        </w:rPr>
        <w:t>Máximo de Minutos Disponíveis</w:t>
      </w:r>
      <w:r>
        <w:t>”</w:t>
      </w:r>
      <w:r w:rsidR="00111EE9">
        <w:t xml:space="preserve"> designa o total acumulado de minutos durante um Período Aplicável para um determinado cluster de VMware, durante o qual as ferramentas de gestão do VMware do Azure foram implementadas numa subscrição do Microsoft Azure.</w:t>
      </w:r>
    </w:p>
    <w:p w14:paraId="6A3427D0" w14:textId="7DF84B27" w:rsidR="00111EE9" w:rsidRDefault="00380305" w:rsidP="00F01ED6">
      <w:pPr>
        <w:pStyle w:val="ProductList-Body"/>
      </w:pPr>
      <w:r>
        <w:t>“</w:t>
      </w:r>
      <w:r w:rsidR="00111EE9">
        <w:rPr>
          <w:b/>
          <w:bCs/>
          <w:color w:val="00188F"/>
        </w:rPr>
        <w:t>Período de Indisponibilidade</w:t>
      </w:r>
      <w:r>
        <w:t>”</w:t>
      </w:r>
      <w:r w:rsidR="00111EE9">
        <w:t xml:space="preserve"> designa o total acumulado do Máximo de Minutos Disponíveis durante um Período Aplicável para um determinado Cluster de VMware do Azure, durante o qual os Serviços de Gestão (vCenter Server e NSX Manager) estão indisponíveis. Considera-se que um determinado minuto está indisponível se</w:t>
      </w:r>
    </w:p>
    <w:p w14:paraId="03DFBFB1" w14:textId="77777777" w:rsidR="00111EE9" w:rsidRDefault="00111EE9" w:rsidP="00DC1476">
      <w:pPr>
        <w:pStyle w:val="ProductList-Body"/>
        <w:keepNext/>
        <w:keepLines/>
        <w:numPr>
          <w:ilvl w:val="0"/>
          <w:numId w:val="29"/>
        </w:numPr>
      </w:pPr>
      <w:r>
        <w:t>O vCenter server não tiver qualquer conectividade durante quatro minutos consecutivos.</w:t>
      </w:r>
    </w:p>
    <w:p w14:paraId="39C99AFB" w14:textId="77777777" w:rsidR="00111EE9" w:rsidRDefault="00111EE9" w:rsidP="00F01ED6">
      <w:pPr>
        <w:pStyle w:val="ProductList-Body"/>
        <w:numPr>
          <w:ilvl w:val="0"/>
          <w:numId w:val="29"/>
        </w:numPr>
      </w:pPr>
      <w:r>
        <w:t>O NSX Manager não tiver qualquer conectividade durante quatro minutos consecutivos.</w:t>
      </w:r>
    </w:p>
    <w:p w14:paraId="064B5313" w14:textId="5C18C216"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5E4EF5A0" w14:textId="178FBF51" w:rsidR="0048402F" w:rsidRPr="00EF7CF9" w:rsidRDefault="00000000" w:rsidP="00EC72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08C7392"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277097">
        <w:tc>
          <w:tcPr>
            <w:tcW w:w="5400" w:type="dxa"/>
          </w:tcPr>
          <w:p w14:paraId="364E37AF" w14:textId="77777777" w:rsidR="0048402F" w:rsidRPr="005A3C16" w:rsidRDefault="0048402F" w:rsidP="00F01ED6">
            <w:pPr>
              <w:pStyle w:val="ProductList-OfferingBody"/>
              <w:jc w:val="center"/>
            </w:pPr>
            <w:r>
              <w:t>&lt; 99,9%</w:t>
            </w:r>
          </w:p>
        </w:tc>
        <w:tc>
          <w:tcPr>
            <w:tcW w:w="5400" w:type="dxa"/>
          </w:tcPr>
          <w:p w14:paraId="71BB0B30" w14:textId="77777777" w:rsidR="0048402F" w:rsidRPr="005A3C16" w:rsidRDefault="0048402F" w:rsidP="00F01ED6">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F01ED6">
            <w:pPr>
              <w:pStyle w:val="ProductList-OfferingBody"/>
              <w:jc w:val="center"/>
            </w:pPr>
            <w:r>
              <w:t>&lt; 99%</w:t>
            </w:r>
          </w:p>
        </w:tc>
        <w:tc>
          <w:tcPr>
            <w:tcW w:w="5400" w:type="dxa"/>
          </w:tcPr>
          <w:p w14:paraId="7DA6BAD2" w14:textId="77777777" w:rsidR="0048402F" w:rsidRPr="005A3C16" w:rsidRDefault="0048402F" w:rsidP="00F01ED6">
            <w:pPr>
              <w:pStyle w:val="ProductList-OfferingBody"/>
              <w:jc w:val="center"/>
            </w:pPr>
            <w:r>
              <w:t>30%</w:t>
            </w:r>
          </w:p>
        </w:tc>
      </w:tr>
    </w:tbl>
    <w:p w14:paraId="117BC718"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BD958DA" w14:textId="0A34CA75" w:rsidR="00C074BC" w:rsidRPr="00C074BC" w:rsidRDefault="00C074BC" w:rsidP="008929C2">
      <w:pPr>
        <w:pStyle w:val="ProductList-Offering2Heading"/>
        <w:keepNext/>
        <w:outlineLvl w:val="2"/>
      </w:pPr>
      <w:bookmarkStart w:id="425" w:name="_Toc214456886"/>
      <w:r>
        <w:t>Azure VNet NAT</w:t>
      </w:r>
      <w:bookmarkEnd w:id="425"/>
    </w:p>
    <w:p w14:paraId="7C326E58" w14:textId="77777777" w:rsidR="00C074BC" w:rsidRPr="00C074BC" w:rsidRDefault="00C074BC" w:rsidP="00F01ED6">
      <w:pPr>
        <w:pStyle w:val="ProductList-Body"/>
        <w:rPr>
          <w:b/>
          <w:bCs/>
          <w:color w:val="00188F"/>
        </w:rPr>
      </w:pPr>
      <w:r>
        <w:rPr>
          <w:b/>
          <w:bCs/>
          <w:color w:val="00188F"/>
        </w:rPr>
        <w:t>Definições Adicionais</w:t>
      </w:r>
    </w:p>
    <w:p w14:paraId="35C02D4A" w14:textId="3362DB91" w:rsidR="00C074BC" w:rsidRDefault="00C074BC" w:rsidP="00F01ED6">
      <w:pPr>
        <w:pStyle w:val="ProductList-Body"/>
      </w:pPr>
      <w:r>
        <w:t xml:space="preserve">O </w:t>
      </w:r>
      <w:r w:rsidR="00380305">
        <w:t>“</w:t>
      </w:r>
      <w:r>
        <w:rPr>
          <w:b/>
          <w:bCs/>
          <w:color w:val="00188F"/>
        </w:rPr>
        <w:t>Endereço IP Público Estático</w:t>
      </w:r>
      <w:r w:rsidR="00380305">
        <w:t>”</w:t>
      </w:r>
      <w:r>
        <w:t xml:space="preserve"> é um endereço IP que foi configurado para a carga de trabalho de um utilizador. Um endereço IP estático não é</w:t>
      </w:r>
      <w:r w:rsidR="00EC57F2">
        <w:t> </w:t>
      </w:r>
      <w:r>
        <w:t>alterado.</w:t>
      </w:r>
    </w:p>
    <w:p w14:paraId="28DC0CC7" w14:textId="6F109093" w:rsidR="00C074BC" w:rsidRDefault="00380305" w:rsidP="00F01ED6">
      <w:pPr>
        <w:pStyle w:val="ProductList-Body"/>
      </w:pPr>
      <w:r>
        <w:t>“</w:t>
      </w:r>
      <w:r w:rsidR="00C074BC">
        <w:rPr>
          <w:b/>
          <w:bCs/>
          <w:color w:val="00188F"/>
        </w:rPr>
        <w:t>Tradução de Endereços de Rede</w:t>
      </w:r>
      <w:r>
        <w:t>”</w:t>
      </w:r>
      <w:r w:rsidR="00C074BC">
        <w:t xml:space="preserve"> é o processo de conversão de endereços IP privados de uma rede privada para um endereço IP público para permitir que múltiplos recursos informáticos do Azure (ou seja, máquinas virtuais) estabeleçam ligação à Internet através de um único endereço público.</w:t>
      </w:r>
    </w:p>
    <w:p w14:paraId="4957B914" w14:textId="7D77B30C" w:rsidR="00C074BC" w:rsidRDefault="00380305" w:rsidP="00F01ED6">
      <w:pPr>
        <w:pStyle w:val="ProductList-Body"/>
      </w:pPr>
      <w:r>
        <w:t>“</w:t>
      </w:r>
      <w:r w:rsidR="00C074BC">
        <w:rPr>
          <w:b/>
          <w:bCs/>
          <w:color w:val="00188F"/>
        </w:rPr>
        <w:t>Conectividade</w:t>
      </w:r>
      <w:r>
        <w:t>”</w:t>
      </w:r>
      <w:r w:rsidR="00C074BC">
        <w:t xml:space="preserve"> designa o tráfego de rede bidirecional através de protocolos de transporte IP suportados que podem ser enviados e recebidos de</w:t>
      </w:r>
      <w:r w:rsidR="00C4555E">
        <w:t> </w:t>
      </w:r>
      <w:r w:rsidR="00C074BC">
        <w:t>qualquer endereço IP configurado para permitir o tráfego.</w:t>
      </w:r>
    </w:p>
    <w:p w14:paraId="2CF65708" w14:textId="1B5730C9" w:rsidR="00C074BC" w:rsidRDefault="00380305" w:rsidP="00F01ED6">
      <w:pPr>
        <w:pStyle w:val="ProductList-Body"/>
      </w:pPr>
      <w:r>
        <w:t>“</w:t>
      </w:r>
      <w:r w:rsidR="00C074BC">
        <w:rPr>
          <w:b/>
          <w:bCs/>
          <w:color w:val="00188F"/>
        </w:rPr>
        <w:t>Tráfego de rede de saída</w:t>
      </w:r>
      <w:r>
        <w:t>”</w:t>
      </w:r>
      <w:r w:rsidR="00C074BC">
        <w:t xml:space="preserve"> é o tráfego que flui de uma rede privada para um ponto final público através da Internet.</w:t>
      </w:r>
    </w:p>
    <w:p w14:paraId="15FC86BD" w14:textId="79CA3363" w:rsidR="00C074BC" w:rsidRPr="00C074BC" w:rsidRDefault="00EE6E3C" w:rsidP="00F01ED6">
      <w:pPr>
        <w:pStyle w:val="ProductList-Body"/>
        <w:rPr>
          <w:b/>
          <w:bCs/>
          <w:color w:val="00188F"/>
        </w:rPr>
      </w:pPr>
      <w:r>
        <w:rPr>
          <w:b/>
          <w:bCs/>
          <w:color w:val="00188F"/>
        </w:rPr>
        <w:t>Cálculo do Período de Disponibilidade e Níveis de Serviço para NAT de Azure VNet</w:t>
      </w:r>
    </w:p>
    <w:p w14:paraId="13C9C4ED" w14:textId="5ECFE241" w:rsidR="00C074BC" w:rsidRDefault="00380305" w:rsidP="00F01ED6">
      <w:pPr>
        <w:pStyle w:val="ProductList-Body"/>
      </w:pPr>
      <w:r>
        <w:t>“</w:t>
      </w:r>
      <w:r w:rsidR="00C074BC">
        <w:rPr>
          <w:b/>
          <w:bCs/>
          <w:color w:val="00188F"/>
        </w:rPr>
        <w:t>Máximo de Minutos Disponíveis</w:t>
      </w:r>
      <w:r>
        <w:t>”</w:t>
      </w:r>
      <w:r w:rsidR="00C074BC">
        <w:t xml:space="preserve"> é o número total de minutos em que o NAT de Azure VNet (servindo duas ou mais Máquinas Virtuais Saudáveis) foi implementado pelo Cliente numa subscrição do Microsoft Azure durante um Período Aplicável.</w:t>
      </w:r>
    </w:p>
    <w:p w14:paraId="5DA3B703" w14:textId="74212F53" w:rsidR="00C074BC" w:rsidRDefault="00380305" w:rsidP="00F01ED6">
      <w:pPr>
        <w:pStyle w:val="ProductList-Body"/>
      </w:pPr>
      <w:r>
        <w:t>“</w:t>
      </w:r>
      <w:r w:rsidR="00C074BC">
        <w:rPr>
          <w:b/>
          <w:bCs/>
          <w:color w:val="00188F"/>
        </w:rPr>
        <w:t>Período de Indisponibilidade</w:t>
      </w:r>
      <w:r>
        <w:t>”</w:t>
      </w:r>
      <w:r w:rsidR="00C074BC">
        <w:t xml:space="preserve"> designa o número total de minutos no Máximo de Minutos Disponíveis durante o qual um determinado NAT de Azure VNet está indisponível. Um minuto é considerado indisponível se todas as Máquinas Virtuais Saudáveis não têm Conectividade através do ponto final de NAT de VNet. O Período de Indisponibilidade não inclui minutos resultantes de esgotamentos de portas SNAT.</w:t>
      </w:r>
    </w:p>
    <w:p w14:paraId="545A6DFC" w14:textId="6551894A" w:rsidR="00C074BC" w:rsidRDefault="00C074BC" w:rsidP="00F01ED6">
      <w:pPr>
        <w:pStyle w:val="ProductList-Body"/>
      </w:pPr>
      <w:r>
        <w:t xml:space="preserve">A </w:t>
      </w:r>
      <w:r w:rsidR="00380305">
        <w:t>“</w:t>
      </w:r>
      <w:r>
        <w:rPr>
          <w:b/>
          <w:bCs/>
          <w:color w:val="00188F"/>
        </w:rPr>
        <w:t>Percentagem de Período de Disponibilidade</w:t>
      </w:r>
      <w:r w:rsidR="00380305">
        <w:t>”</w:t>
      </w:r>
      <w:r>
        <w:t xml:space="preserve"> para o NAT de Azure VNet é calculada como o Máximo de Minutos Disponíveis menos o Período de Indisponibilidade, dividido pelo Máximo de Minutos Disponíveis num Período Aplicável multiplicado por 100.</w:t>
      </w:r>
    </w:p>
    <w:p w14:paraId="14D300FF" w14:textId="637DBE90" w:rsidR="00C074BC" w:rsidRDefault="00AC48A7" w:rsidP="00F01ED6">
      <w:pPr>
        <w:pStyle w:val="ProductList-Body"/>
      </w:pPr>
      <w:r>
        <w:t>A Percentagem de Período de Disponibilidade é representada pela seguinte fórmula:</w:t>
      </w:r>
    </w:p>
    <w:p w14:paraId="7623F496" w14:textId="0DFF9C0B" w:rsidR="00C074BC" w:rsidRPr="00EF7CF9" w:rsidRDefault="00000000" w:rsidP="008929C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54A7BEA" w14:textId="3F6DCF3A" w:rsidR="00C074BC" w:rsidRDefault="00C074BC" w:rsidP="00F01ED6">
      <w:pPr>
        <w:pStyle w:val="ProductList-Body"/>
      </w:pPr>
      <w:r>
        <w:t>Os seguintes Níveis de Serviço e Crédito de Serviço são aplicáveis ao uso que o Cliente faz do NAT Gateway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69BCB0" w14:textId="77777777" w:rsidR="00C074BC" w:rsidRPr="005A3C16" w:rsidRDefault="00C074BC" w:rsidP="00F01ED6">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277097">
        <w:tc>
          <w:tcPr>
            <w:tcW w:w="5400" w:type="dxa"/>
          </w:tcPr>
          <w:p w14:paraId="6BE5352A" w14:textId="795C5DE0" w:rsidR="00C074BC" w:rsidRPr="005A3C16" w:rsidRDefault="00C074BC" w:rsidP="00F01ED6">
            <w:pPr>
              <w:pStyle w:val="ProductList-OfferingBody"/>
              <w:jc w:val="center"/>
            </w:pPr>
            <w:r>
              <w:t>&lt; 99,99%</w:t>
            </w:r>
          </w:p>
        </w:tc>
        <w:tc>
          <w:tcPr>
            <w:tcW w:w="5400" w:type="dxa"/>
          </w:tcPr>
          <w:p w14:paraId="53358258" w14:textId="77777777" w:rsidR="00C074BC" w:rsidRPr="005A3C16" w:rsidRDefault="00C074BC" w:rsidP="00F01ED6">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F01ED6">
            <w:pPr>
              <w:pStyle w:val="ProductList-OfferingBody"/>
              <w:jc w:val="center"/>
            </w:pPr>
            <w:r>
              <w:t>&lt; 99,9%</w:t>
            </w:r>
          </w:p>
        </w:tc>
        <w:tc>
          <w:tcPr>
            <w:tcW w:w="5400" w:type="dxa"/>
          </w:tcPr>
          <w:p w14:paraId="5BF8DE88" w14:textId="6FD720FA" w:rsidR="00C074BC" w:rsidRPr="005A3C16" w:rsidRDefault="00C074BC" w:rsidP="00F01ED6">
            <w:pPr>
              <w:pStyle w:val="ProductList-OfferingBody"/>
              <w:jc w:val="center"/>
            </w:pPr>
            <w:r>
              <w:t>25%</w:t>
            </w:r>
          </w:p>
        </w:tc>
      </w:tr>
    </w:tbl>
    <w:p w14:paraId="70670E9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30F03E3" w14:textId="78881B1E" w:rsidR="004005AF" w:rsidRPr="00EF7CF9" w:rsidRDefault="004005AF" w:rsidP="0091798B">
      <w:pPr>
        <w:pStyle w:val="ProductList-Offering2Heading"/>
        <w:outlineLvl w:val="2"/>
      </w:pPr>
      <w:bookmarkStart w:id="426" w:name="_Toc214456887"/>
      <w:r>
        <w:t xml:space="preserve">Gateway de </w:t>
      </w:r>
      <w:bookmarkEnd w:id="416"/>
      <w:bookmarkEnd w:id="417"/>
      <w:r w:rsidR="00ED3D56" w:rsidRPr="00ED3D56">
        <w:t>Rede Virtual</w:t>
      </w:r>
      <w:bookmarkEnd w:id="426"/>
    </w:p>
    <w:p w14:paraId="3214EABD" w14:textId="77777777" w:rsidR="004005AF" w:rsidRPr="00EF7CF9" w:rsidRDefault="004005AF" w:rsidP="00F01ED6">
      <w:pPr>
        <w:pStyle w:val="ProductList-Body"/>
      </w:pPr>
      <w:r>
        <w:rPr>
          <w:b/>
          <w:color w:val="00188F"/>
        </w:rPr>
        <w:t>Definições Adicionais</w:t>
      </w:r>
      <w:r w:rsidRPr="00473DD3">
        <w:rPr>
          <w:b/>
          <w:color w:val="00188F"/>
        </w:rPr>
        <w:t>:</w:t>
      </w:r>
    </w:p>
    <w:p w14:paraId="2A63F778" w14:textId="77777777" w:rsidR="00837DB3" w:rsidRPr="00C730A5" w:rsidRDefault="00837DB3" w:rsidP="00837DB3">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Máximo de Minutos Disponíveis</w:t>
      </w:r>
      <w:r w:rsidRPr="00C730A5">
        <w:rPr>
          <w:rFonts w:ascii="Calibri" w:eastAsia="Calibri" w:hAnsi="Calibri" w:cs="Arial"/>
          <w:sz w:val="18"/>
        </w:rPr>
        <w:t>” designa o total de minutos acumulados durante um Período Aplicável durante o qual um determinado Gateway de Rede Virtual foi implementado numa subscrição do Microsoft Azure.</w:t>
      </w:r>
    </w:p>
    <w:p w14:paraId="58198498" w14:textId="77777777" w:rsidR="00837DB3" w:rsidRPr="00C730A5" w:rsidRDefault="00837DB3" w:rsidP="00837DB3">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b/>
          <w:color w:val="00188F"/>
          <w:sz w:val="18"/>
        </w:rPr>
        <w:t>Período de Indisponibilidade</w:t>
      </w:r>
      <w:r w:rsidRPr="00C730A5">
        <w:rPr>
          <w:rFonts w:ascii="Calibri" w:eastAsia="Calibri" w:hAnsi="Calibri" w:cs="Arial"/>
          <w:b/>
          <w:bCs/>
          <w:sz w:val="18"/>
        </w:rPr>
        <w:t>:</w:t>
      </w:r>
      <w:r w:rsidRPr="00C730A5">
        <w:rPr>
          <w:rFonts w:ascii="Calibri" w:eastAsia="Calibri" w:hAnsi="Calibri" w:cs="Arial"/>
          <w:sz w:val="18"/>
        </w:rPr>
        <w:t xml:space="preserve"> É o total de Máximo de Minutos Disponíveis acumulados durante os quais o Gateway de Rede Virtual está indisponível. Um minuto é considerado indisponível se todas as tentativas de estabelecer ligação ao Gateway de Rede Virtual numa janela de trinta segundos durante esse minuto não forem bem-sucedidas.</w:t>
      </w:r>
    </w:p>
    <w:p w14:paraId="6600986D"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Percentagem de Período de Disponibilidade</w:t>
      </w:r>
      <w:r w:rsidRPr="00C730A5">
        <w:rPr>
          <w:rFonts w:ascii="Calibri" w:eastAsia="Calibri" w:hAnsi="Calibri" w:cs="Arial"/>
          <w:b/>
          <w:bCs/>
          <w:sz w:val="18"/>
        </w:rPr>
        <w:t>:</w:t>
      </w:r>
      <w:r w:rsidRPr="00C730A5">
        <w:rPr>
          <w:rFonts w:ascii="Calibri" w:eastAsia="Calibri" w:hAnsi="Calibri" w:cs="Arial"/>
          <w:sz w:val="18"/>
        </w:rPr>
        <w:t xml:space="preserve"> A Percentagem de Período de Disponibilidade para um determinado Gateway de Rede Virtual é calculada como o Máximo de Minutos Disponíveis menos o Período de Indisponibilidade a dividir pelo Máximo de Minutos Disponíveis num Período Aplicável para o Gateway de Rede Virtual. A Percentagem de Período de Disponibilidade é representada pela seguinte fórmula:</w:t>
      </w:r>
    </w:p>
    <w:p w14:paraId="3DE745BB" w14:textId="77777777" w:rsidR="00837DB3" w:rsidRPr="00C730A5" w:rsidRDefault="00000000" w:rsidP="00EC7241">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E6CE48C"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Os seguintes Níveis de Serviço e Créditos de Serviço são aplicáveis à utilização de cada Gateway de Rede Virtual por parte do Cliente</w:t>
      </w:r>
      <w:r w:rsidRPr="00C730A5">
        <w:rPr>
          <w:rFonts w:ascii="Calibri" w:eastAsia="Calibri" w:hAnsi="Calibri" w:cs="Arial"/>
          <w:sz w:val="18"/>
        </w:rPr>
        <w:t>:</w:t>
      </w:r>
    </w:p>
    <w:p w14:paraId="3E0B3097" w14:textId="77777777" w:rsidR="004005AF" w:rsidRPr="00EF7CF9" w:rsidRDefault="004005AF" w:rsidP="00110FE2">
      <w:pPr>
        <w:pStyle w:val="ProductList-Body"/>
        <w:ind w:left="360"/>
      </w:pPr>
      <w:r>
        <w:rPr>
          <w:b/>
          <w:color w:val="00188F"/>
        </w:rPr>
        <w:t>Crédito de Serviço de Gateway Basic para VPN ou ExpressRoute</w:t>
      </w:r>
      <w:r w:rsidRPr="00473DD3">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A72CAC">
        <w:trPr>
          <w:tblHeader/>
        </w:trPr>
        <w:tc>
          <w:tcPr>
            <w:tcW w:w="5400" w:type="dxa"/>
            <w:shd w:val="clear" w:color="auto" w:fill="0072C6"/>
          </w:tcPr>
          <w:p w14:paraId="4E53F423" w14:textId="0F0061A5" w:rsidR="004005AF" w:rsidRPr="00EF7CF9" w:rsidRDefault="00AC48A7" w:rsidP="00F01ED6">
            <w:pPr>
              <w:pStyle w:val="ProductList-OfferingBody"/>
              <w:ind w:left="-23" w:firstLine="23"/>
              <w:jc w:val="center"/>
              <w:rPr>
                <w:color w:val="FFFFFF" w:themeColor="background1"/>
              </w:rPr>
            </w:pPr>
            <w:r>
              <w:rPr>
                <w:color w:val="FFFFFF" w:themeColor="background1"/>
              </w:rPr>
              <w:t>Percentagem de Período de Disponibilidade</w:t>
            </w:r>
          </w:p>
        </w:tc>
        <w:tc>
          <w:tcPr>
            <w:tcW w:w="5490" w:type="dxa"/>
            <w:shd w:val="clear" w:color="auto" w:fill="0072C6"/>
          </w:tcPr>
          <w:p w14:paraId="05C9B00B"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A72CAC">
        <w:tc>
          <w:tcPr>
            <w:tcW w:w="5400" w:type="dxa"/>
          </w:tcPr>
          <w:p w14:paraId="55715AA0" w14:textId="77777777" w:rsidR="004005AF" w:rsidRPr="00EF7CF9" w:rsidRDefault="004005AF" w:rsidP="00F01ED6">
            <w:pPr>
              <w:pStyle w:val="ProductList-OfferingBody"/>
              <w:ind w:left="-23" w:firstLine="23"/>
              <w:jc w:val="center"/>
            </w:pPr>
            <w:r>
              <w:t>&lt; 99,9%</w:t>
            </w:r>
          </w:p>
        </w:tc>
        <w:tc>
          <w:tcPr>
            <w:tcW w:w="5490" w:type="dxa"/>
          </w:tcPr>
          <w:p w14:paraId="78AE8882" w14:textId="77777777" w:rsidR="004005AF" w:rsidRPr="00EF7CF9" w:rsidRDefault="004005AF" w:rsidP="00F01ED6">
            <w:pPr>
              <w:pStyle w:val="ProductList-OfferingBody"/>
              <w:jc w:val="center"/>
            </w:pPr>
            <w:r>
              <w:t>10%</w:t>
            </w:r>
          </w:p>
        </w:tc>
      </w:tr>
      <w:tr w:rsidR="004005AF" w:rsidRPr="00B44CF9" w14:paraId="2272A8E6" w14:textId="77777777" w:rsidTr="00A72CAC">
        <w:tc>
          <w:tcPr>
            <w:tcW w:w="5400" w:type="dxa"/>
          </w:tcPr>
          <w:p w14:paraId="5B662717" w14:textId="77777777" w:rsidR="004005AF" w:rsidRPr="00EF7CF9" w:rsidRDefault="004005AF" w:rsidP="00F01ED6">
            <w:pPr>
              <w:pStyle w:val="ProductList-OfferingBody"/>
              <w:ind w:left="-23" w:firstLine="23"/>
              <w:jc w:val="center"/>
            </w:pPr>
            <w:r>
              <w:t>&lt; 99%</w:t>
            </w:r>
          </w:p>
        </w:tc>
        <w:tc>
          <w:tcPr>
            <w:tcW w:w="5490" w:type="dxa"/>
          </w:tcPr>
          <w:p w14:paraId="78F67851" w14:textId="77777777" w:rsidR="004005AF" w:rsidRPr="00EF7CF9" w:rsidRDefault="004005AF" w:rsidP="00F01ED6">
            <w:pPr>
              <w:pStyle w:val="ProductList-OfferingBody"/>
              <w:jc w:val="center"/>
            </w:pPr>
            <w:r>
              <w:t>25%</w:t>
            </w:r>
          </w:p>
        </w:tc>
      </w:tr>
    </w:tbl>
    <w:p w14:paraId="07CE327E" w14:textId="77777777" w:rsidR="004005AF" w:rsidRPr="00EF7CF9" w:rsidRDefault="004005AF" w:rsidP="00BC65E9">
      <w:pPr>
        <w:pStyle w:val="ProductList-Body"/>
        <w:spacing w:before="120"/>
        <w:ind w:left="360"/>
      </w:pPr>
      <w:r>
        <w:rPr>
          <w:b/>
          <w:bCs/>
          <w:color w:val="00188F"/>
        </w:rPr>
        <w:t>SKUs de Gateway para VPN e Gateway para ExpressRoute, excluindo o Básico</w:t>
      </w:r>
      <w:r w:rsidRPr="00473DD3">
        <w:rPr>
          <w:b/>
          <w:bCs/>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A72CAC">
        <w:trPr>
          <w:trHeight w:val="249"/>
          <w:tblHeader/>
        </w:trPr>
        <w:tc>
          <w:tcPr>
            <w:tcW w:w="5400" w:type="dxa"/>
            <w:shd w:val="clear" w:color="auto" w:fill="0072C6"/>
          </w:tcPr>
          <w:p w14:paraId="0C73C4F2" w14:textId="1CAEA70C"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90" w:type="dxa"/>
            <w:shd w:val="clear" w:color="auto" w:fill="0072C6"/>
          </w:tcPr>
          <w:p w14:paraId="5057421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A72CAC">
        <w:trPr>
          <w:trHeight w:val="242"/>
        </w:trPr>
        <w:tc>
          <w:tcPr>
            <w:tcW w:w="5400" w:type="dxa"/>
          </w:tcPr>
          <w:p w14:paraId="1E41C743" w14:textId="77777777" w:rsidR="004005AF" w:rsidRPr="00EF7CF9" w:rsidRDefault="004005AF" w:rsidP="00F01ED6">
            <w:pPr>
              <w:pStyle w:val="ProductList-OfferingBody"/>
              <w:jc w:val="center"/>
            </w:pPr>
            <w:r>
              <w:t>&lt; 99,95%</w:t>
            </w:r>
          </w:p>
        </w:tc>
        <w:tc>
          <w:tcPr>
            <w:tcW w:w="5490" w:type="dxa"/>
          </w:tcPr>
          <w:p w14:paraId="5C8621FD" w14:textId="77777777" w:rsidR="004005AF" w:rsidRPr="00EF7CF9" w:rsidRDefault="004005AF" w:rsidP="00F01ED6">
            <w:pPr>
              <w:pStyle w:val="ProductList-OfferingBody"/>
              <w:jc w:val="center"/>
            </w:pPr>
            <w:r>
              <w:t>10%</w:t>
            </w:r>
          </w:p>
        </w:tc>
      </w:tr>
      <w:tr w:rsidR="004005AF" w:rsidRPr="00B44CF9" w14:paraId="6508444F" w14:textId="77777777" w:rsidTr="00A72CAC">
        <w:trPr>
          <w:trHeight w:val="249"/>
        </w:trPr>
        <w:tc>
          <w:tcPr>
            <w:tcW w:w="5400" w:type="dxa"/>
          </w:tcPr>
          <w:p w14:paraId="54EDC13C" w14:textId="77777777" w:rsidR="004005AF" w:rsidRPr="00EF7CF9" w:rsidRDefault="004005AF" w:rsidP="00F01ED6">
            <w:pPr>
              <w:pStyle w:val="ProductList-OfferingBody"/>
              <w:keepNext/>
              <w:jc w:val="center"/>
            </w:pPr>
            <w:r>
              <w:t>&lt; 99%</w:t>
            </w:r>
          </w:p>
        </w:tc>
        <w:tc>
          <w:tcPr>
            <w:tcW w:w="5490" w:type="dxa"/>
          </w:tcPr>
          <w:p w14:paraId="401AF3D0" w14:textId="77777777" w:rsidR="004005AF" w:rsidRPr="00EF7CF9" w:rsidRDefault="004005AF" w:rsidP="00F01ED6">
            <w:pPr>
              <w:pStyle w:val="ProductList-OfferingBody"/>
              <w:keepNext/>
              <w:jc w:val="center"/>
            </w:pPr>
            <w:r>
              <w:t>25%</w:t>
            </w:r>
          </w:p>
        </w:tc>
      </w:tr>
    </w:tbl>
    <w:bookmarkEnd w:id="418"/>
    <w:bookmarkEnd w:id="419"/>
    <w:bookmarkEnd w:id="420"/>
    <w:bookmarkEnd w:id="421"/>
    <w:bookmarkEnd w:id="422"/>
    <w:p w14:paraId="4BB3D36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D0785CF" w14:textId="77777777" w:rsidR="00637D9A" w:rsidRPr="00637D9A" w:rsidRDefault="00637D9A" w:rsidP="00F01ED6">
      <w:pPr>
        <w:pStyle w:val="ProductList-Offering2Heading"/>
        <w:keepNext/>
        <w:outlineLvl w:val="2"/>
      </w:pPr>
      <w:bookmarkStart w:id="427" w:name="_Toc214456888"/>
      <w:r>
        <w:lastRenderedPageBreak/>
        <w:t>Azure Web PubSub</w:t>
      </w:r>
      <w:bookmarkEnd w:id="427"/>
    </w:p>
    <w:p w14:paraId="44A5270C" w14:textId="77777777" w:rsidR="00637D9A" w:rsidRPr="00637D9A" w:rsidRDefault="00637D9A" w:rsidP="00F01ED6">
      <w:pPr>
        <w:pStyle w:val="ProductList-Body"/>
        <w:rPr>
          <w:b/>
          <w:bCs/>
          <w:color w:val="00188F"/>
        </w:rPr>
      </w:pPr>
      <w:r>
        <w:rPr>
          <w:b/>
          <w:bCs/>
          <w:color w:val="00188F"/>
        </w:rPr>
        <w:t>Definições Adicionais</w:t>
      </w:r>
    </w:p>
    <w:p w14:paraId="0ED7D0D4" w14:textId="580148E0" w:rsidR="00637D9A" w:rsidRDefault="00380305" w:rsidP="00F01ED6">
      <w:pPr>
        <w:pStyle w:val="ProductList-Body"/>
      </w:pPr>
      <w:r>
        <w:t>“</w:t>
      </w:r>
      <w:r w:rsidR="00637D9A">
        <w:rPr>
          <w:b/>
          <w:bCs/>
          <w:color w:val="00188F"/>
        </w:rPr>
        <w:t>Ponto Final do serviço Web PubSub</w:t>
      </w:r>
      <w:r>
        <w:t>”</w:t>
      </w:r>
      <w:r w:rsidR="00637D9A">
        <w:t xml:space="preserve"> é o nome do anfitrião a partir do qual o serviço Web PubSub é acedido pelos servidores ou clientes para realizar as transações Web PubSub.</w:t>
      </w:r>
    </w:p>
    <w:p w14:paraId="3F676377" w14:textId="57AB3D97" w:rsidR="00637D9A" w:rsidRDefault="00380305" w:rsidP="00F01ED6">
      <w:pPr>
        <w:pStyle w:val="ProductList-Body"/>
      </w:pPr>
      <w:r>
        <w:t>“</w:t>
      </w:r>
      <w:r w:rsidR="00637D9A">
        <w:rPr>
          <w:b/>
          <w:bCs/>
          <w:color w:val="00188F"/>
        </w:rPr>
        <w:t>Transações Web PubSub</w:t>
      </w:r>
      <w:r>
        <w:t>”</w:t>
      </w:r>
      <w:r w:rsidR="00637D9A">
        <w:t xml:space="preserve"> é um conjunto de pedidos de transação enviado pelo cliente para o servidor ou do servidor para o cliente através de um</w:t>
      </w:r>
      <w:r w:rsidR="00AB03DB">
        <w:t> </w:t>
      </w:r>
      <w:r w:rsidR="00637D9A">
        <w:t>Ponto Final do serviço Web PubSub. Estes pedidos de transação incluem a configuração da ligação entre o servidor/cliente e o Ponto Final de</w:t>
      </w:r>
      <w:r w:rsidR="00AB03DB">
        <w:t> </w:t>
      </w:r>
      <w:r w:rsidR="00637D9A">
        <w:t>serviço do Web PubSub ou o envio das mensagens através do Ponto Final do serviço Web PubSub.</w:t>
      </w:r>
    </w:p>
    <w:p w14:paraId="7A6D697D" w14:textId="734B425C" w:rsidR="00637D9A" w:rsidRPr="00637D9A" w:rsidRDefault="00EE6E3C" w:rsidP="00F01ED6">
      <w:pPr>
        <w:pStyle w:val="ProductList-Body"/>
        <w:rPr>
          <w:b/>
          <w:bCs/>
          <w:color w:val="00188F"/>
        </w:rPr>
      </w:pPr>
      <w:r>
        <w:rPr>
          <w:b/>
          <w:bCs/>
          <w:color w:val="00188F"/>
        </w:rPr>
        <w:t>Cálculo do Período de Disponibilidade e Níveis de Serviço para a Instância do serviço Web PubSub</w:t>
      </w:r>
    </w:p>
    <w:p w14:paraId="5274C6D6" w14:textId="7D135CFF" w:rsidR="00637D9A" w:rsidRDefault="00380305" w:rsidP="00F01ED6">
      <w:pPr>
        <w:pStyle w:val="ProductList-Body"/>
      </w:pPr>
      <w:r>
        <w:t>“</w:t>
      </w:r>
      <w:r w:rsidR="00637D9A">
        <w:rPr>
          <w:b/>
          <w:bCs/>
          <w:color w:val="00188F"/>
        </w:rPr>
        <w:t>Máximo de Minutos Disponíveis</w:t>
      </w:r>
      <w:r>
        <w:t>”</w:t>
      </w:r>
      <w:r w:rsidR="00637D9A">
        <w:t xml:space="preserve"> é o número total de minutos durante os quais foi implementado o serviço Web PubSub pelo Cliente numa subscrição do Microsoft Azure, durante um Período Aplicável.</w:t>
      </w:r>
    </w:p>
    <w:p w14:paraId="54F466A0" w14:textId="4EFE100F" w:rsidR="00637D9A" w:rsidRPr="0074049A" w:rsidRDefault="00380305" w:rsidP="00F01ED6">
      <w:pPr>
        <w:pStyle w:val="ProductList-Body"/>
        <w:rPr>
          <w:spacing w:val="-2"/>
        </w:rPr>
      </w:pPr>
      <w:r>
        <w:rPr>
          <w:spacing w:val="-2"/>
        </w:rPr>
        <w:t>“</w:t>
      </w:r>
      <w:r w:rsidR="00637D9A" w:rsidRPr="0074049A">
        <w:rPr>
          <w:b/>
          <w:bCs/>
          <w:color w:val="00188F"/>
          <w:spacing w:val="-2"/>
        </w:rPr>
        <w:t>Período de Indisponibilidade:</w:t>
      </w:r>
      <w:r>
        <w:rPr>
          <w:spacing w:val="-2"/>
        </w:rPr>
        <w:t>”</w:t>
      </w:r>
      <w:r w:rsidR="00637D9A" w:rsidRPr="0074049A">
        <w:rPr>
          <w:spacing w:val="-2"/>
        </w:rPr>
        <w:t xml:space="preserve"> designa o total acumulado de Máximo de Minutos Disponíveis durante um Período Aplicável para o serviço Web PubSub durante o qual o serviço Web PubSub está indisponível. Considera-se um determinado minuto como indisponível se todas as tentativas de envio de transações Web PubSub durante esse minuto devolverem um Código de Erro ou não resultarem num Código de Sucesso durante um minuto.</w:t>
      </w:r>
    </w:p>
    <w:p w14:paraId="2D69C325" w14:textId="42DD7B43" w:rsidR="00637D9A" w:rsidRDefault="00637D9A" w:rsidP="00F01ED6">
      <w:pPr>
        <w:pStyle w:val="ProductList-Body"/>
      </w:pPr>
      <w:r>
        <w:t xml:space="preserve">A </w:t>
      </w:r>
      <w:r w:rsidR="00380305">
        <w:t>“</w:t>
      </w:r>
      <w:r>
        <w:rPr>
          <w:b/>
          <w:bCs/>
          <w:color w:val="00188F"/>
        </w:rPr>
        <w:t>Percentagem de Período de Disponibilidade</w:t>
      </w:r>
      <w:r w:rsidR="00380305">
        <w:t>”</w:t>
      </w:r>
      <w:r>
        <w:t xml:space="preserve"> para o serviço Web PubSub é calculada como o Máximo de Minutos Disponíveis menos o Período de Indisponibilidade a dividir pelo Máximo de Minutos Disponíveis.</w:t>
      </w:r>
    </w:p>
    <w:p w14:paraId="61D19559" w14:textId="75F68B45" w:rsidR="00637D9A" w:rsidRDefault="00AC48A7" w:rsidP="00F01ED6">
      <w:pPr>
        <w:pStyle w:val="ProductList-Body"/>
      </w:pPr>
      <w:r>
        <w:t>A Percentagem de Período de Disponibilidade é representada pela seguinte fórmula:</w:t>
      </w:r>
    </w:p>
    <w:p w14:paraId="062095F6" w14:textId="588D38CA" w:rsidR="00A21B39" w:rsidRPr="00EF7CF9" w:rsidRDefault="00000000" w:rsidP="003A632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EDCA498" w14:textId="719E06F0" w:rsidR="00637D9A" w:rsidRPr="00A21B39" w:rsidRDefault="00637D9A" w:rsidP="00F01ED6">
      <w:pPr>
        <w:pStyle w:val="ProductList-Body"/>
        <w:rPr>
          <w:b/>
          <w:bCs/>
          <w:color w:val="00188F"/>
        </w:rPr>
      </w:pPr>
      <w:r>
        <w:rPr>
          <w:b/>
          <w:bCs/>
          <w:color w:val="00188F"/>
        </w:rPr>
        <w:t xml:space="preserve">Os seguintes Níveis de Serviço e Créditos de Serviço são aplicáveis à utilização que o Cliente faz das camadas Standard do serviço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A72CAC">
        <w:trPr>
          <w:trHeight w:val="249"/>
          <w:tblHeader/>
        </w:trPr>
        <w:tc>
          <w:tcPr>
            <w:tcW w:w="5220" w:type="dxa"/>
            <w:shd w:val="clear" w:color="auto" w:fill="0072C6"/>
          </w:tcPr>
          <w:p w14:paraId="6152B28C" w14:textId="0E49D5BF" w:rsidR="00A21B3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580" w:type="dxa"/>
            <w:shd w:val="clear" w:color="auto" w:fill="0072C6"/>
          </w:tcPr>
          <w:p w14:paraId="3C987E79" w14:textId="77777777" w:rsidR="00A21B39" w:rsidRPr="00EF7CF9" w:rsidRDefault="00A21B39" w:rsidP="00F01ED6">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A72CAC">
        <w:trPr>
          <w:trHeight w:val="242"/>
        </w:trPr>
        <w:tc>
          <w:tcPr>
            <w:tcW w:w="5220" w:type="dxa"/>
          </w:tcPr>
          <w:p w14:paraId="3AD3F0BF" w14:textId="24FDC99B" w:rsidR="00A21B39" w:rsidRPr="00EF7CF9" w:rsidRDefault="00A21B39" w:rsidP="00F01ED6">
            <w:pPr>
              <w:pStyle w:val="ProductList-OfferingBody"/>
              <w:jc w:val="center"/>
            </w:pPr>
            <w:r>
              <w:t>&lt; 99,9%</w:t>
            </w:r>
          </w:p>
        </w:tc>
        <w:tc>
          <w:tcPr>
            <w:tcW w:w="5580" w:type="dxa"/>
          </w:tcPr>
          <w:p w14:paraId="6FC79C7C" w14:textId="77777777" w:rsidR="00A21B39" w:rsidRPr="00EF7CF9" w:rsidRDefault="00A21B39" w:rsidP="00F01ED6">
            <w:pPr>
              <w:pStyle w:val="ProductList-OfferingBody"/>
              <w:jc w:val="center"/>
            </w:pPr>
            <w:r>
              <w:t>10%</w:t>
            </w:r>
          </w:p>
        </w:tc>
      </w:tr>
      <w:tr w:rsidR="00A21B39" w:rsidRPr="00B44CF9" w14:paraId="04DCC853" w14:textId="77777777" w:rsidTr="00A72CAC">
        <w:trPr>
          <w:trHeight w:val="249"/>
        </w:trPr>
        <w:tc>
          <w:tcPr>
            <w:tcW w:w="5220" w:type="dxa"/>
          </w:tcPr>
          <w:p w14:paraId="2B0BEC00" w14:textId="77777777" w:rsidR="00A21B39" w:rsidRPr="00EF7CF9" w:rsidRDefault="00A21B39" w:rsidP="00F01ED6">
            <w:pPr>
              <w:pStyle w:val="ProductList-OfferingBody"/>
              <w:keepNext/>
              <w:jc w:val="center"/>
            </w:pPr>
            <w:r>
              <w:t>&lt; 99%</w:t>
            </w:r>
          </w:p>
        </w:tc>
        <w:tc>
          <w:tcPr>
            <w:tcW w:w="5580" w:type="dxa"/>
          </w:tcPr>
          <w:p w14:paraId="03699744" w14:textId="77777777" w:rsidR="00A21B39" w:rsidRPr="00EF7CF9" w:rsidRDefault="00A21B39" w:rsidP="00F01ED6">
            <w:pPr>
              <w:pStyle w:val="ProductList-OfferingBody"/>
              <w:keepNext/>
              <w:jc w:val="center"/>
            </w:pPr>
            <w:r>
              <w:t>25%</w:t>
            </w:r>
          </w:p>
        </w:tc>
      </w:tr>
    </w:tbl>
    <w:p w14:paraId="5EDF5F6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5FA765" w14:textId="7BDB580B" w:rsidR="0054334B" w:rsidRPr="002D6760" w:rsidRDefault="0054334B" w:rsidP="00F01ED6">
      <w:pPr>
        <w:pStyle w:val="ProductList-Offering2Heading"/>
        <w:keepNext/>
        <w:outlineLvl w:val="2"/>
      </w:pPr>
      <w:bookmarkStart w:id="428" w:name="_Toc214456889"/>
      <w:r>
        <w:t>Windows 10 IoT Core Services</w:t>
      </w:r>
      <w:bookmarkEnd w:id="428"/>
    </w:p>
    <w:p w14:paraId="66A5ACEC" w14:textId="438CD4D1" w:rsidR="0054334B" w:rsidRPr="002D6760" w:rsidRDefault="00EE6E3C" w:rsidP="00F01ED6">
      <w:pPr>
        <w:pStyle w:val="ProductList-Body"/>
        <w:rPr>
          <w:b/>
          <w:bCs/>
          <w:color w:val="00188F"/>
        </w:rPr>
      </w:pPr>
      <w:r>
        <w:rPr>
          <w:b/>
          <w:bCs/>
          <w:color w:val="00188F"/>
        </w:rPr>
        <w:t>Cálculo do Período de Disponibilidade e Níveis de Serviço para os Serviços do Windows 10 IoT Core</w:t>
      </w:r>
    </w:p>
    <w:p w14:paraId="7CE7D4D7" w14:textId="17A13404" w:rsidR="0054334B" w:rsidRDefault="00380305" w:rsidP="00F01ED6">
      <w:pPr>
        <w:pStyle w:val="ProductList-Body"/>
      </w:pPr>
      <w:r>
        <w:t>“</w:t>
      </w:r>
      <w:r w:rsidR="0054334B">
        <w:rPr>
          <w:b/>
          <w:bCs/>
          <w:color w:val="00188F"/>
        </w:rPr>
        <w:t>Máximo de Minutos Disponíveis</w:t>
      </w:r>
      <w:r>
        <w:t>”</w:t>
      </w:r>
      <w:r w:rsidR="0054334B">
        <w:t xml:space="preserve"> designa o número total de minutos para um determinado Serviço do Windows 10 IoT Core implementado numa determinada subscrição do Microsoft Azure durante um Período Aplicável.</w:t>
      </w:r>
    </w:p>
    <w:p w14:paraId="64DD26A7" w14:textId="1F78715C" w:rsidR="0054334B" w:rsidRDefault="00380305" w:rsidP="00F01ED6">
      <w:pPr>
        <w:pStyle w:val="ProductList-Body"/>
      </w:pPr>
      <w:r>
        <w:t>“</w:t>
      </w:r>
      <w:r w:rsidR="0054334B">
        <w:rPr>
          <w:b/>
          <w:bCs/>
          <w:color w:val="00188F"/>
        </w:rPr>
        <w:t>Período de Indisponibilidade</w:t>
      </w:r>
      <w:r>
        <w:t>”</w:t>
      </w:r>
      <w:r w:rsidR="0054334B">
        <w:t xml:space="preserve"> designa o número total de minutos no Máximo de Minutos Disponíveis durante o qual os Serviços do Windows 10 IoT Core estão indisponíveis. Um minuto é considerado indisponível para uma determinada instância dos Serviços do Windows 10 IoT Core se todas as tentativas contínuas para iniciar sessão no Centro de Atualização do Dispositivo ou executar Operações no Centro de Atualização do Dispositivo durante esse minuto devolverem um Código de Erro ou não resultarem num Código de Êxito no prazo de dois minutos.</w:t>
      </w:r>
    </w:p>
    <w:p w14:paraId="1320B9E6" w14:textId="1DBBE274" w:rsidR="0054334B" w:rsidRDefault="00380305" w:rsidP="00F01ED6">
      <w:pPr>
        <w:pStyle w:val="ProductList-Body"/>
      </w:pPr>
      <w:r>
        <w:t>“</w:t>
      </w:r>
      <w:r w:rsidR="0054334B">
        <w:rPr>
          <w:b/>
          <w:bCs/>
          <w:color w:val="00188F"/>
        </w:rPr>
        <w:t>Percentagem de Período de Disponibilidade</w:t>
      </w:r>
      <w:r>
        <w:t>”</w:t>
      </w:r>
      <w:r w:rsidR="0054334B">
        <w:t xml:space="preserve"> A Percentagem de Período de Disponibilidade é calculada utilizando a seguinte fórmula:</w:t>
      </w:r>
    </w:p>
    <w:p w14:paraId="32206A53" w14:textId="49B20839" w:rsidR="0054334B" w:rsidRPr="00EF7CF9" w:rsidRDefault="00000000" w:rsidP="003A632A">
      <w:pPr>
        <w:spacing w:before="120" w:after="120"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09BD2F6" w14:textId="77777777" w:rsidR="0054334B" w:rsidRPr="00E51CB1" w:rsidRDefault="0054334B" w:rsidP="00F01ED6">
      <w:pPr>
        <w:pStyle w:val="ProductList-Body"/>
        <w:keepNext/>
        <w:rPr>
          <w:b/>
          <w:bCs/>
          <w:color w:val="00188F"/>
        </w:rPr>
      </w:pPr>
      <w:r>
        <w:rPr>
          <w:b/>
          <w:bCs/>
          <w:color w:val="00188F"/>
        </w:rPr>
        <w:t>Os seguintes Níveis de Serviço e Créditos de Serviço são aplicáveis à utilização que o Cliente faz dos Serviços do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D8B523" w14:textId="77777777" w:rsidR="0054334B" w:rsidRPr="00EF7CF9" w:rsidRDefault="0054334B" w:rsidP="00F01ED6">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277097">
        <w:tc>
          <w:tcPr>
            <w:tcW w:w="5400" w:type="dxa"/>
          </w:tcPr>
          <w:p w14:paraId="25C74862" w14:textId="77777777" w:rsidR="0054334B" w:rsidRPr="00EF7CF9" w:rsidRDefault="0054334B" w:rsidP="00F01ED6">
            <w:pPr>
              <w:pStyle w:val="ProductList-OfferingBody"/>
              <w:jc w:val="center"/>
            </w:pPr>
            <w:r>
              <w:t>&lt; 99,9%</w:t>
            </w:r>
          </w:p>
        </w:tc>
        <w:tc>
          <w:tcPr>
            <w:tcW w:w="5400" w:type="dxa"/>
          </w:tcPr>
          <w:p w14:paraId="6930A573" w14:textId="77777777" w:rsidR="0054334B" w:rsidRPr="00EF7CF9" w:rsidRDefault="0054334B" w:rsidP="00F01ED6">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F01ED6">
            <w:pPr>
              <w:pStyle w:val="ProductList-OfferingBody"/>
              <w:jc w:val="center"/>
            </w:pPr>
            <w:r>
              <w:t>&lt; 99%</w:t>
            </w:r>
          </w:p>
        </w:tc>
        <w:tc>
          <w:tcPr>
            <w:tcW w:w="5400" w:type="dxa"/>
          </w:tcPr>
          <w:p w14:paraId="6B31DA5D" w14:textId="77777777" w:rsidR="0054334B" w:rsidRPr="00EF7CF9" w:rsidRDefault="0054334B" w:rsidP="00F01ED6">
            <w:pPr>
              <w:pStyle w:val="ProductList-OfferingBody"/>
              <w:keepNext/>
              <w:jc w:val="center"/>
            </w:pPr>
            <w:r>
              <w:t>25%</w:t>
            </w:r>
          </w:p>
        </w:tc>
      </w:tr>
    </w:tbl>
    <w:p w14:paraId="4D29A508"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E8BDC16" w14:textId="2439BB38" w:rsidR="003A16EB" w:rsidRPr="00EF7CF9" w:rsidRDefault="003A16EB" w:rsidP="008929C2">
      <w:pPr>
        <w:pStyle w:val="ProductList-OfferingGroupHeading"/>
        <w:keepNext/>
        <w:tabs>
          <w:tab w:val="clear" w:pos="360"/>
          <w:tab w:val="clear" w:pos="720"/>
          <w:tab w:val="clear" w:pos="1080"/>
        </w:tabs>
        <w:outlineLvl w:val="1"/>
      </w:pPr>
      <w:bookmarkStart w:id="429" w:name="_Toc214456890"/>
      <w:r>
        <w:t>Outros Serviços Online</w:t>
      </w:r>
      <w:bookmarkEnd w:id="112"/>
      <w:bookmarkEnd w:id="429"/>
    </w:p>
    <w:p w14:paraId="7002A494" w14:textId="77777777" w:rsidR="00657A3A" w:rsidRDefault="00657A3A" w:rsidP="00F01ED6">
      <w:pPr>
        <w:pStyle w:val="ProductList-Offering2Heading"/>
        <w:tabs>
          <w:tab w:val="clear" w:pos="360"/>
          <w:tab w:val="clear" w:pos="720"/>
          <w:tab w:val="clear" w:pos="1080"/>
        </w:tabs>
        <w:outlineLvl w:val="2"/>
      </w:pPr>
      <w:bookmarkStart w:id="430" w:name="_Toc55920316"/>
      <w:bookmarkStart w:id="431" w:name="_Toc214456891"/>
      <w:bookmarkStart w:id="432" w:name="MicrosoftDefenderforIdentity"/>
      <w:bookmarkStart w:id="433" w:name="_Toc457821592"/>
      <w:r>
        <w:t>Microsoft Defender para Identidade</w:t>
      </w:r>
      <w:bookmarkEnd w:id="430"/>
      <w:bookmarkEnd w:id="431"/>
    </w:p>
    <w:bookmarkEnd w:id="432"/>
    <w:p w14:paraId="3070A80B" w14:textId="77777777" w:rsidR="00657A3A" w:rsidRPr="00DA6241" w:rsidRDefault="00657A3A" w:rsidP="00F01ED6">
      <w:pPr>
        <w:pStyle w:val="ProductList-Body"/>
      </w:pPr>
      <w:r>
        <w:rPr>
          <w:b/>
          <w:color w:val="00188F"/>
        </w:rPr>
        <w:t>Definições Adicionais</w:t>
      </w:r>
      <w:r w:rsidRPr="00473DD3">
        <w:rPr>
          <w:b/>
          <w:color w:val="00188F"/>
        </w:rPr>
        <w:t>:</w:t>
      </w:r>
    </w:p>
    <w:p w14:paraId="7B084D0A" w14:textId="63002500" w:rsidR="00ED3A16" w:rsidRDefault="00380305" w:rsidP="00F01ED6">
      <w:pPr>
        <w:spacing w:after="0" w:line="240" w:lineRule="auto"/>
        <w:rPr>
          <w:sz w:val="18"/>
        </w:rPr>
      </w:pPr>
      <w:r>
        <w:rPr>
          <w:sz w:val="18"/>
        </w:rPr>
        <w:t>“</w:t>
      </w:r>
      <w:r w:rsidR="00657A3A">
        <w:rPr>
          <w:b/>
          <w:color w:val="00188F"/>
          <w:sz w:val="18"/>
        </w:rPr>
        <w:t>Período de Indisponibilidade:</w:t>
      </w:r>
      <w:r>
        <w:rPr>
          <w:sz w:val="18"/>
        </w:rPr>
        <w:t>”</w:t>
      </w:r>
      <w:r w:rsidR="00657A3A">
        <w:rPr>
          <w:sz w:val="18"/>
        </w:rPr>
        <w:t xml:space="preserve"> designa Qualquer período de tempo durante o qual o administrador não consegue aceder ao portal do Microsoft Defender para Identidade.</w:t>
      </w:r>
    </w:p>
    <w:p w14:paraId="08807E89" w14:textId="069779A6" w:rsidR="00ED3A16" w:rsidRPr="00CE181C" w:rsidRDefault="00AC48A7" w:rsidP="00F01ED6">
      <w:pPr>
        <w:pStyle w:val="ProductList-Body"/>
      </w:pPr>
      <w:r>
        <w:rPr>
          <w:b/>
          <w:bCs/>
          <w:color w:val="00188F"/>
        </w:rPr>
        <w:t>Percentagem de Período de Disponibilidade</w:t>
      </w:r>
      <w:r w:rsidRPr="00473DD3">
        <w:rPr>
          <w:b/>
          <w:bCs/>
          <w:color w:val="00188F"/>
        </w:rPr>
        <w:t>:</w:t>
      </w:r>
      <w:r>
        <w:t xml:space="preserve"> A Percentagem de Período de Disponibilidade é calculada através da seguinte fórmula: </w:t>
      </w:r>
    </w:p>
    <w:p w14:paraId="6E7DBA75" w14:textId="7589C50E" w:rsidR="00ED3A16" w:rsidRDefault="00000000" w:rsidP="008929C2">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de Utilizador - Período de Indisponibilidade</m:t>
              </m:r>
            </m:num>
            <m:den>
              <m:r>
                <m:rPr>
                  <m:nor/>
                </m:rPr>
                <w:rPr>
                  <w:rFonts w:ascii="Cambria Math" w:hAnsi="Cambria Math"/>
                  <w:i/>
                  <w:iCs/>
                  <w:sz w:val="18"/>
                  <w:szCs w:val="18"/>
                </w:rPr>
                <m:t>Minutos de Utilizador</m:t>
              </m:r>
            </m:den>
          </m:f>
          <m:r>
            <w:rPr>
              <w:rFonts w:ascii="Cambria Math" w:hAnsi="Cambria Math"/>
              <w:sz w:val="18"/>
              <w:szCs w:val="18"/>
            </w:rPr>
            <m:t xml:space="preserve"> x 100 </m:t>
          </m:r>
        </m:oMath>
      </m:oMathPara>
    </w:p>
    <w:p w14:paraId="68670114" w14:textId="53FA516C" w:rsidR="00ED3A16"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BD9DBBE" w14:textId="77777777" w:rsidR="000C15FB" w:rsidRDefault="000C15FB" w:rsidP="00F01ED6">
      <w:pPr>
        <w:pStyle w:val="ProductList-Body"/>
        <w:ind w:right="135"/>
        <w:rPr>
          <w:szCs w:val="18"/>
        </w:rPr>
      </w:pPr>
    </w:p>
    <w:p w14:paraId="117C8F41" w14:textId="77777777" w:rsidR="00ED3A16" w:rsidRDefault="00ED3A16"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F01ED6">
            <w:pPr>
              <w:pStyle w:val="ProductList-OfferingBody"/>
              <w:jc w:val="center"/>
              <w:rPr>
                <w:color w:val="FFFFFF"/>
              </w:rPr>
            </w:pPr>
            <w:r>
              <w:rPr>
                <w:color w:val="FFFFFF"/>
              </w:rPr>
              <w:t>Crédito de Serviço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F01ED6">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F01ED6">
            <w:pPr>
              <w:pStyle w:val="ProductList-OfferingBody"/>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F01ED6">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F01ED6">
            <w:pPr>
              <w:pStyle w:val="ProductList-OfferingBody"/>
              <w:jc w:val="center"/>
            </w:pPr>
            <w:r>
              <w:t>25%</w:t>
            </w:r>
          </w:p>
        </w:tc>
      </w:tr>
    </w:tbl>
    <w:p w14:paraId="1737F36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7EF96CA" w14:textId="324A23F2" w:rsidR="00E856FE" w:rsidRDefault="00E856FE" w:rsidP="00F01ED6">
      <w:pPr>
        <w:pStyle w:val="ProductList-Offering2Heading"/>
        <w:tabs>
          <w:tab w:val="clear" w:pos="360"/>
          <w:tab w:val="clear" w:pos="720"/>
          <w:tab w:val="clear" w:pos="1080"/>
        </w:tabs>
        <w:outlineLvl w:val="2"/>
      </w:pPr>
      <w:bookmarkStart w:id="434" w:name="_Toc214456892"/>
      <w:r>
        <w:t>Microsoft Defender para IoT</w:t>
      </w:r>
      <w:bookmarkEnd w:id="434"/>
    </w:p>
    <w:p w14:paraId="0D787271" w14:textId="77777777" w:rsidR="00E856FE" w:rsidRDefault="00E856FE" w:rsidP="00F01ED6">
      <w:pPr>
        <w:pStyle w:val="ProductList-Body"/>
      </w:pPr>
      <w:r>
        <w:rPr>
          <w:b/>
          <w:color w:val="00188F"/>
        </w:rPr>
        <w:t>Definições Adicionais</w:t>
      </w:r>
      <w:r w:rsidRPr="00473DD3">
        <w:rPr>
          <w:b/>
          <w:color w:val="00188F"/>
        </w:rPr>
        <w:t>:</w:t>
      </w:r>
    </w:p>
    <w:p w14:paraId="30311482" w14:textId="6978BFAD" w:rsidR="0050152D" w:rsidRDefault="00380305" w:rsidP="00F01ED6">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 Máximo de Minutos Disponíveis é calculado desde o momento em que uma Subscrição é criada após a conclusão com êxito do processo de integração.</w:t>
      </w:r>
    </w:p>
    <w:p w14:paraId="65EC79CF" w14:textId="23CD40D1" w:rsidR="0050152D" w:rsidRPr="00F66064" w:rsidRDefault="00380305" w:rsidP="00F01ED6">
      <w:pPr>
        <w:pStyle w:val="ProductList-Body"/>
      </w:pPr>
      <w:r>
        <w:t>“</w:t>
      </w:r>
      <w:r w:rsidR="0050152D">
        <w:rPr>
          <w:b/>
          <w:bCs/>
          <w:color w:val="00188F"/>
        </w:rPr>
        <w:t>Período de Indisponibilidade</w:t>
      </w:r>
      <w:r>
        <w:t>”</w:t>
      </w:r>
      <w:r w:rsidR="0050152D">
        <w:t xml:space="preserve"> O número total de minutos em que um cliente não consegue aceder a qualquer parte de um portal do Microsoft Defender para IoT para o qual tenham as permissões adequadas e tenha uma licença válida ativa. </w:t>
      </w:r>
    </w:p>
    <w:p w14:paraId="3C09ECCD" w14:textId="69F59FA0" w:rsidR="0050152D" w:rsidRDefault="00380305" w:rsidP="00F01ED6">
      <w:pPr>
        <w:pStyle w:val="ProductList-Body"/>
      </w:pPr>
      <w:r w:rsidRPr="00CB7596">
        <w:t>“</w:t>
      </w:r>
      <w:r w:rsidR="0050152D">
        <w:rPr>
          <w:b/>
          <w:color w:val="00188F"/>
        </w:rPr>
        <w:t>Subscrição</w:t>
      </w:r>
      <w:r w:rsidRPr="00CB7596">
        <w:t>”</w:t>
      </w:r>
      <w:r w:rsidR="0050152D">
        <w:rPr>
          <w:rStyle w:val="normaltextrun"/>
          <w:rFonts w:ascii="Calibri" w:hAnsi="Calibri" w:cs="Calibri"/>
          <w:color w:val="000000"/>
          <w:sz w:val="22"/>
          <w:shd w:val="clear" w:color="auto" w:fill="FFFFFF"/>
        </w:rPr>
        <w:t xml:space="preserve"> </w:t>
      </w:r>
      <w:r w:rsidR="0050152D">
        <w:t>indica o ambiente de cloud específico de um determinado cliente para o Microsoft Defender para IoT.</w:t>
      </w:r>
      <w:r w:rsidR="0050152D">
        <w:rPr>
          <w:rStyle w:val="eop"/>
          <w:rFonts w:ascii="Calibri" w:hAnsi="Calibri" w:cs="Calibri"/>
          <w:color w:val="000000"/>
          <w:sz w:val="22"/>
          <w:shd w:val="clear" w:color="auto" w:fill="FFFFFF"/>
        </w:rPr>
        <w:t> </w:t>
      </w:r>
    </w:p>
    <w:p w14:paraId="63CE5A86" w14:textId="053152CA" w:rsidR="0050152D" w:rsidRDefault="00380305" w:rsidP="00F01ED6">
      <w:pPr>
        <w:pStyle w:val="ProductList-Body"/>
      </w:pPr>
      <w:r w:rsidRPr="00CB7596">
        <w:t>“</w:t>
      </w:r>
      <w:r w:rsidR="0050152D">
        <w:rPr>
          <w:b/>
          <w:color w:val="00188F"/>
        </w:rPr>
        <w:t>Percentagem de Período de Disponibilidade</w:t>
      </w:r>
      <w:r w:rsidRPr="00CB7596">
        <w:t>”</w:t>
      </w:r>
      <w:r w:rsidR="0050152D">
        <w:t xml:space="preserve"> O Período de Indisponibilidade é medido em minutos do utilizador. Ou seja, para um Período Aplicável, o Período de Indisponibilidade será a soma da duração (em minutos) de cada Incidente durante esse Período Aplicável, multiplicado pelo</w:t>
      </w:r>
      <w:r w:rsidR="00EF27AF">
        <w:t> </w:t>
      </w:r>
      <w:r w:rsidR="0050152D">
        <w:t>número de utilizadores afetados por esse Incidente. A Percentagem de Período de Disponibilidade é calculada através da seguinte fórmula:</w:t>
      </w:r>
    </w:p>
    <w:p w14:paraId="38A08E23" w14:textId="397D3EC7" w:rsidR="00591147" w:rsidRPr="00614354" w:rsidRDefault="00000000" w:rsidP="003A632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98D8363" w14:textId="77777777" w:rsidR="00EC1B71" w:rsidRDefault="00EC1B71"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F01ED6">
            <w:pPr>
              <w:pStyle w:val="ProductList-OfferingBody"/>
              <w:jc w:val="center"/>
              <w:rPr>
                <w:color w:val="FFFFFF"/>
              </w:rPr>
            </w:pPr>
            <w:r>
              <w:rPr>
                <w:color w:val="FFFFFF"/>
              </w:rPr>
              <w:t>Crédito de Serviço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F01ED6">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F01ED6">
            <w:pPr>
              <w:pStyle w:val="ProductList-OfferingBody"/>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F01ED6">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F01ED6">
            <w:pPr>
              <w:pStyle w:val="ProductList-OfferingBody"/>
              <w:jc w:val="center"/>
            </w:pPr>
            <w:r>
              <w:t>25%</w:t>
            </w:r>
          </w:p>
        </w:tc>
      </w:tr>
    </w:tbl>
    <w:p w14:paraId="5071DA77" w14:textId="19FD1D3A" w:rsidR="00E15FC0" w:rsidRDefault="00F81546" w:rsidP="00653932">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de Nível de Serviço</w:t>
      </w:r>
      <w:r w:rsidRPr="00473DD3">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aos componentes no local, tais como sensores e agentes de segurança.</w:t>
      </w:r>
    </w:p>
    <w:p w14:paraId="7CAC157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86F9ED" w14:textId="6EB05967" w:rsidR="003A16EB" w:rsidRPr="00EF7CF9" w:rsidRDefault="003A16EB" w:rsidP="00D6770D">
      <w:pPr>
        <w:pStyle w:val="ProductList-Offering2Heading"/>
        <w:keepNext/>
        <w:tabs>
          <w:tab w:val="clear" w:pos="360"/>
          <w:tab w:val="clear" w:pos="720"/>
          <w:tab w:val="clear" w:pos="1080"/>
        </w:tabs>
        <w:outlineLvl w:val="2"/>
      </w:pPr>
      <w:bookmarkStart w:id="435" w:name="_Toc214456893"/>
      <w:r>
        <w:t>Bing Maps Enterprise Platform</w:t>
      </w:r>
      <w:bookmarkEnd w:id="433"/>
      <w:bookmarkEnd w:id="435"/>
    </w:p>
    <w:p w14:paraId="6227B95F" w14:textId="50A804E6" w:rsidR="00515EF4" w:rsidRPr="0074049A" w:rsidRDefault="003A16EB"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332EF34F" w14:textId="4CD8429C" w:rsidR="003A16E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4E374EC" w14:textId="3737C997" w:rsidR="00515EF4"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73896EC6" w14:textId="5C58694F" w:rsidR="008E5959" w:rsidRDefault="00515EF4" w:rsidP="00F01ED6">
      <w:pPr>
        <w:pStyle w:val="ProductList-Body"/>
      </w:pPr>
      <w:r>
        <w:t>em que o Período de Indisponibilidade é medido como o número total de minutos durante o Período Aplicável quando os aspetos do Servidor estabelecidos acima estão indisponíveis.</w:t>
      </w:r>
    </w:p>
    <w:p w14:paraId="43F37A26" w14:textId="77777777" w:rsidR="000C15FB" w:rsidRDefault="000C15FB" w:rsidP="00F01ED6">
      <w:pPr>
        <w:pStyle w:val="ProductList-Body"/>
      </w:pPr>
    </w:p>
    <w:p w14:paraId="26174FF9" w14:textId="7B753AAA"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6A899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515EF4">
        <w:tc>
          <w:tcPr>
            <w:tcW w:w="5400" w:type="dxa"/>
          </w:tcPr>
          <w:p w14:paraId="04CAFA50" w14:textId="61E959DE" w:rsidR="00515EF4" w:rsidRPr="00EF7CF9" w:rsidRDefault="00515EF4" w:rsidP="00F01ED6">
            <w:pPr>
              <w:pStyle w:val="ProductList-OfferingBody"/>
              <w:jc w:val="center"/>
            </w:pPr>
            <w:r>
              <w:t>&lt; 99,9%</w:t>
            </w:r>
          </w:p>
        </w:tc>
        <w:tc>
          <w:tcPr>
            <w:tcW w:w="5400" w:type="dxa"/>
          </w:tcPr>
          <w:p w14:paraId="79F178DF" w14:textId="7F10E0CE" w:rsidR="00515EF4" w:rsidRPr="00EF7CF9" w:rsidRDefault="00515EF4" w:rsidP="00F01ED6">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F01ED6">
            <w:pPr>
              <w:pStyle w:val="ProductList-OfferingBody"/>
              <w:jc w:val="center"/>
            </w:pPr>
            <w:r>
              <w:t>&lt; 99%</w:t>
            </w:r>
          </w:p>
        </w:tc>
        <w:tc>
          <w:tcPr>
            <w:tcW w:w="5400" w:type="dxa"/>
          </w:tcPr>
          <w:p w14:paraId="4C2D0E02" w14:textId="661EED97" w:rsidR="00515EF4" w:rsidRPr="00EF7CF9" w:rsidRDefault="00515EF4" w:rsidP="00F01ED6">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F01ED6">
            <w:pPr>
              <w:pStyle w:val="ProductList-OfferingBody"/>
              <w:jc w:val="center"/>
            </w:pPr>
            <w:r>
              <w:t>&lt; 95%</w:t>
            </w:r>
          </w:p>
        </w:tc>
        <w:tc>
          <w:tcPr>
            <w:tcW w:w="5400" w:type="dxa"/>
          </w:tcPr>
          <w:p w14:paraId="67F575EA" w14:textId="0AACC5D0" w:rsidR="00515EF4" w:rsidRPr="00EF7CF9" w:rsidRDefault="00515EF4" w:rsidP="00F01ED6">
            <w:pPr>
              <w:pStyle w:val="ProductList-OfferingBody"/>
              <w:jc w:val="center"/>
            </w:pPr>
            <w:r>
              <w:t>100%</w:t>
            </w:r>
          </w:p>
        </w:tc>
      </w:tr>
    </w:tbl>
    <w:p w14:paraId="66593B86" w14:textId="77777777" w:rsidR="001E0407" w:rsidRPr="00494F85" w:rsidRDefault="001E0407" w:rsidP="00F01ED6">
      <w:pPr>
        <w:pStyle w:val="ProductList-Body"/>
        <w:rPr>
          <w:sz w:val="12"/>
          <w:szCs w:val="12"/>
        </w:rPr>
      </w:pPr>
    </w:p>
    <w:p w14:paraId="087D7891" w14:textId="25FE396F" w:rsidR="00515EF4" w:rsidRPr="00EF7CF9" w:rsidRDefault="00515EF4"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9219096" w14:textId="77777777" w:rsidR="00515EF4" w:rsidRPr="00F643EA" w:rsidRDefault="00515EF4" w:rsidP="00F01ED6">
      <w:pPr>
        <w:pStyle w:val="ProductList-Body"/>
        <w:rPr>
          <w:sz w:val="12"/>
          <w:szCs w:val="12"/>
        </w:rPr>
      </w:pPr>
    </w:p>
    <w:p w14:paraId="084D7DBE" w14:textId="56267753" w:rsidR="001E0407" w:rsidRPr="00EF7CF9" w:rsidRDefault="00515EF4" w:rsidP="00F01ED6">
      <w:pPr>
        <w:pStyle w:val="ProductList-Body"/>
      </w:pPr>
      <w:r>
        <w:lastRenderedPageBreak/>
        <w:t>Os Créditos de Serviço não serão aplicáveis se: (i) o Cliente não implementar quaisquer atualizações de Serviços durante o período especificado nos</w:t>
      </w:r>
      <w:r w:rsidR="000D5314">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0D5314">
        <w:t> </w:t>
      </w:r>
      <w:r>
        <w:t>50% ou mais em relação à utilização do Período Aplicável anterior.</w:t>
      </w:r>
    </w:p>
    <w:bookmarkStart w:id="436" w:name="_Toc413421605"/>
    <w:bookmarkStart w:id="437" w:name="_Toc457821593"/>
    <w:p w14:paraId="0A1F392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0B993D" w14:textId="77777777" w:rsidR="00FD7891" w:rsidRPr="00EF7CF9" w:rsidRDefault="00FD7891" w:rsidP="00F01ED6">
      <w:pPr>
        <w:pStyle w:val="ProductList-Offering2Heading"/>
        <w:keepNext/>
        <w:outlineLvl w:val="2"/>
      </w:pPr>
      <w:bookmarkStart w:id="438" w:name="_Toc214456894"/>
      <w:r>
        <w:t>Bing Maps Mobile Asset Management</w:t>
      </w:r>
      <w:bookmarkEnd w:id="436"/>
      <w:bookmarkEnd w:id="437"/>
      <w:bookmarkEnd w:id="438"/>
    </w:p>
    <w:p w14:paraId="65029C5D" w14:textId="606DEF1A" w:rsidR="00FD7891" w:rsidRPr="0074049A" w:rsidRDefault="00FD7891"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10C2AC36" w14:textId="7B6AEA68" w:rsidR="00FD7891"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D1C7AD3" w14:textId="4077EA0B" w:rsidR="00FD7891"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08A0B750" w14:textId="3A875414" w:rsidR="00FD7891" w:rsidRDefault="00FD7891" w:rsidP="00F01ED6">
      <w:pPr>
        <w:pStyle w:val="ProductList-Body"/>
      </w:pPr>
      <w:r>
        <w:t>em que o Período de Indisponibilidade é medido como o número total de minutos durante o Período Aplicável quando os aspetos do Servidor estabelecidos acima estão indisponíveis.</w:t>
      </w:r>
    </w:p>
    <w:p w14:paraId="5270583C" w14:textId="77777777" w:rsidR="000C15FB" w:rsidRDefault="000C15FB" w:rsidP="00F01ED6">
      <w:pPr>
        <w:pStyle w:val="ProductList-Body"/>
      </w:pPr>
    </w:p>
    <w:p w14:paraId="152AABCC" w14:textId="6C944870" w:rsidR="00FD7891" w:rsidRPr="00EF7CF9" w:rsidRDefault="00FD7891"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FAF31B" w14:textId="77777777" w:rsidR="00FD7891" w:rsidRPr="00EF7CF9" w:rsidRDefault="00FD7891" w:rsidP="00F01ED6">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085A0D">
        <w:tc>
          <w:tcPr>
            <w:tcW w:w="5400" w:type="dxa"/>
          </w:tcPr>
          <w:p w14:paraId="2EC30703" w14:textId="77777777" w:rsidR="00FD7891" w:rsidRPr="00EF7CF9" w:rsidRDefault="00FD7891" w:rsidP="00F01ED6">
            <w:pPr>
              <w:pStyle w:val="ProductList-OfferingBody"/>
              <w:jc w:val="center"/>
            </w:pPr>
            <w:r>
              <w:t>&lt; 99,9%</w:t>
            </w:r>
          </w:p>
        </w:tc>
        <w:tc>
          <w:tcPr>
            <w:tcW w:w="5400" w:type="dxa"/>
          </w:tcPr>
          <w:p w14:paraId="0AF0BF6E" w14:textId="77777777" w:rsidR="00FD7891" w:rsidRPr="00EF7CF9" w:rsidRDefault="00FD7891" w:rsidP="00F01ED6">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F01ED6">
            <w:pPr>
              <w:pStyle w:val="ProductList-OfferingBody"/>
              <w:jc w:val="center"/>
            </w:pPr>
            <w:r>
              <w:t>&lt; 99%</w:t>
            </w:r>
          </w:p>
        </w:tc>
        <w:tc>
          <w:tcPr>
            <w:tcW w:w="5400" w:type="dxa"/>
          </w:tcPr>
          <w:p w14:paraId="2042F0F2" w14:textId="77777777" w:rsidR="00FD7891" w:rsidRPr="00EF7CF9" w:rsidRDefault="00FD7891" w:rsidP="00F01ED6">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F01ED6">
            <w:pPr>
              <w:pStyle w:val="ProductList-OfferingBody"/>
              <w:jc w:val="center"/>
            </w:pPr>
            <w:r>
              <w:t>&lt; 95%</w:t>
            </w:r>
          </w:p>
        </w:tc>
        <w:tc>
          <w:tcPr>
            <w:tcW w:w="5400" w:type="dxa"/>
          </w:tcPr>
          <w:p w14:paraId="0BEE0BFC" w14:textId="77777777" w:rsidR="00FD7891" w:rsidRPr="00EF7CF9" w:rsidRDefault="00FD7891" w:rsidP="00F01ED6">
            <w:pPr>
              <w:pStyle w:val="ProductList-OfferingBody"/>
              <w:jc w:val="center"/>
            </w:pPr>
            <w:r>
              <w:t>100%</w:t>
            </w:r>
          </w:p>
        </w:tc>
      </w:tr>
    </w:tbl>
    <w:p w14:paraId="4AC7D937" w14:textId="77777777" w:rsidR="00FD7891" w:rsidRPr="00494F85" w:rsidRDefault="00FD7891" w:rsidP="00F01ED6">
      <w:pPr>
        <w:pStyle w:val="ProductList-Body"/>
        <w:rPr>
          <w:sz w:val="12"/>
          <w:szCs w:val="12"/>
        </w:rPr>
      </w:pPr>
    </w:p>
    <w:p w14:paraId="6FE4E46D" w14:textId="773326ED" w:rsidR="00FD7891" w:rsidRPr="00EF7CF9" w:rsidRDefault="00FD7891"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B8E2082" w14:textId="77777777" w:rsidR="0074049A" w:rsidRPr="00F643EA" w:rsidRDefault="0074049A" w:rsidP="00F01ED6">
      <w:pPr>
        <w:pStyle w:val="ProductList-Body"/>
        <w:rPr>
          <w:sz w:val="12"/>
          <w:szCs w:val="12"/>
        </w:rPr>
      </w:pPr>
    </w:p>
    <w:p w14:paraId="3F493427" w14:textId="7423D6AC" w:rsidR="00FD7891" w:rsidRPr="00EF7CF9" w:rsidRDefault="00FD7891" w:rsidP="00DC1476">
      <w:pPr>
        <w:pStyle w:val="ProductList-Body"/>
        <w:keepNext/>
        <w:keepLines/>
      </w:pPr>
      <w:r>
        <w:t>Os Créditos de Serviço não serão aplicáveis se: (i) o Cliente não implementar quaisquer atualizações de Serviços durante o período especificado nos</w:t>
      </w:r>
      <w:r w:rsidR="00D43685">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D43685">
        <w:t> </w:t>
      </w:r>
      <w:r>
        <w:t>50% ou mais em relação à utilização do Período Aplicável anterior.</w:t>
      </w:r>
    </w:p>
    <w:bookmarkStart w:id="439" w:name="Intune"/>
    <w:bookmarkStart w:id="440" w:name="PowerBIPro"/>
    <w:p w14:paraId="3BAFC07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15C4F" w14:textId="77777777" w:rsidR="00F06C94" w:rsidRPr="00EF7CF9" w:rsidRDefault="00F06C94" w:rsidP="00796E1C">
      <w:pPr>
        <w:pStyle w:val="ProductList-Offering2Heading"/>
        <w:keepNext/>
        <w:tabs>
          <w:tab w:val="clear" w:pos="360"/>
          <w:tab w:val="clear" w:pos="720"/>
          <w:tab w:val="clear" w:pos="1080"/>
        </w:tabs>
        <w:outlineLvl w:val="2"/>
      </w:pPr>
      <w:bookmarkStart w:id="441" w:name="_Toc214456895"/>
      <w:r>
        <w:t>Microsoft Cloud App Security</w:t>
      </w:r>
      <w:bookmarkEnd w:id="441"/>
    </w:p>
    <w:p w14:paraId="75FF14F8" w14:textId="5F93533E" w:rsidR="00F06C94" w:rsidRPr="007F2936" w:rsidRDefault="00F06C94" w:rsidP="00F01ED6">
      <w:pPr>
        <w:pStyle w:val="ProductList-Body"/>
        <w:rPr>
          <w:spacing w:val="-2"/>
        </w:rPr>
      </w:pPr>
      <w:r w:rsidRPr="007F2936">
        <w:rPr>
          <w:b/>
          <w:color w:val="00188F"/>
          <w:spacing w:val="-2"/>
        </w:rPr>
        <w:t>Período de Indisponibilidade:</w:t>
      </w:r>
      <w:r w:rsidRPr="007F2936">
        <w:rPr>
          <w:spacing w:val="-2"/>
        </w:rPr>
        <w:t xml:space="preserve"> 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4E621058" w14:textId="55CFFED2" w:rsidR="00F06C9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19D5B0" w14:textId="56AD2689" w:rsidR="00F06C94" w:rsidRPr="009E2B16" w:rsidRDefault="00000000" w:rsidP="008929C2">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Minutos de Utilizador - Período de Indisponibilidade</m:t>
              </m:r>
            </m:num>
            <m:den>
              <m:r>
                <m:rPr>
                  <m:nor/>
                </m:rPr>
                <w:rPr>
                  <w:rFonts w:ascii="Cambria Math" w:hAnsi="Cambria Math" w:cs="Calibri"/>
                  <w:i/>
                  <w:sz w:val="18"/>
                  <w:szCs w:val="18"/>
                </w:rPr>
                <m:t>Minutos de Utilizador</m:t>
              </m:r>
            </m:den>
          </m:f>
          <m:r>
            <w:rPr>
              <w:rFonts w:ascii="Cambria Math" w:hAnsi="Cambria Math" w:cs="Calibri"/>
              <w:sz w:val="18"/>
              <w:szCs w:val="18"/>
            </w:rPr>
            <m:t xml:space="preserve"> x 100</m:t>
          </m:r>
        </m:oMath>
      </m:oMathPara>
    </w:p>
    <w:p w14:paraId="563EA36A" w14:textId="03030F6F" w:rsidR="00F06C94"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32B71E4" w14:textId="77777777" w:rsidR="000C15FB" w:rsidRPr="00EF7CF9" w:rsidRDefault="000C15FB" w:rsidP="00F01ED6">
      <w:pPr>
        <w:pStyle w:val="ProductList-Body"/>
        <w:ind w:right="162"/>
      </w:pPr>
    </w:p>
    <w:p w14:paraId="4BE32466" w14:textId="740D7E57" w:rsidR="00F06C94" w:rsidRPr="00EF7CF9" w:rsidRDefault="00F06C94"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F01ED6">
            <w:pPr>
              <w:pStyle w:val="ProductList-OfferingBody"/>
              <w:jc w:val="center"/>
              <w:rPr>
                <w:color w:val="FFFFFF"/>
              </w:rPr>
            </w:pPr>
            <w:r>
              <w:rPr>
                <w:color w:val="FFFFFF"/>
              </w:rPr>
              <w:t>Crédito de Serviço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F01ED6">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F01ED6">
            <w:pPr>
              <w:pStyle w:val="ProductList-OfferingBody"/>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F01ED6">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F01ED6">
            <w:pPr>
              <w:pStyle w:val="ProductList-OfferingBody"/>
              <w:jc w:val="center"/>
            </w:pPr>
            <w:r>
              <w:t>25%</w:t>
            </w:r>
          </w:p>
        </w:tc>
      </w:tr>
    </w:tbl>
    <w:p w14:paraId="467D963B" w14:textId="77777777" w:rsidR="00F06C94" w:rsidRPr="00494F85" w:rsidRDefault="00F06C94" w:rsidP="00F01ED6">
      <w:pPr>
        <w:pStyle w:val="ProductList-Body"/>
        <w:rPr>
          <w:sz w:val="12"/>
          <w:szCs w:val="12"/>
        </w:rPr>
      </w:pPr>
    </w:p>
    <w:p w14:paraId="5AF92A53" w14:textId="388987C2" w:rsidR="00F06C94" w:rsidRPr="00EF7CF9" w:rsidRDefault="00F06C94" w:rsidP="00F01ED6">
      <w:pPr>
        <w:pStyle w:val="ProductList-Body"/>
        <w:spacing w:after="40"/>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6415DD">
        <w:t> </w:t>
      </w:r>
      <w:r>
        <w:t>serviços baseados na Internet (excluindo Microsoft Cloud App Security) que forneçam atualizações através da API (interface de programação de</w:t>
      </w:r>
      <w:r w:rsidR="006415DD">
        <w:t> </w:t>
      </w:r>
      <w:r>
        <w:t>aplicações) a quaisquer serviços licenciado como parte da subscrição do Serviço.</w:t>
      </w:r>
    </w:p>
    <w:p w14:paraId="1FF7B0B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3C70D02" w14:textId="77777777" w:rsidR="00653932" w:rsidRDefault="00653932">
      <w:pPr>
        <w:rPr>
          <w:rFonts w:asciiTheme="majorHAnsi" w:hAnsiTheme="majorHAnsi"/>
          <w:b/>
          <w:color w:val="0072C6"/>
          <w:sz w:val="28"/>
        </w:rPr>
      </w:pPr>
      <w:r>
        <w:br w:type="page"/>
      </w:r>
    </w:p>
    <w:p w14:paraId="29D3E044" w14:textId="78C25F18" w:rsidR="00C801FD" w:rsidRDefault="00C801FD" w:rsidP="00F01ED6">
      <w:pPr>
        <w:pStyle w:val="ProductList-Offering2Heading"/>
        <w:tabs>
          <w:tab w:val="clear" w:pos="360"/>
          <w:tab w:val="clear" w:pos="720"/>
          <w:tab w:val="clear" w:pos="1080"/>
        </w:tabs>
        <w:outlineLvl w:val="2"/>
      </w:pPr>
      <w:bookmarkStart w:id="442" w:name="_Toc214456896"/>
      <w:r>
        <w:lastRenderedPageBreak/>
        <w:t>Dragon Copilot</w:t>
      </w:r>
      <w:bookmarkEnd w:id="442"/>
    </w:p>
    <w:p w14:paraId="3F335B4A"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Definições Adicionais:</w:t>
      </w:r>
    </w:p>
    <w:p w14:paraId="3041F9A7"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 xml:space="preserve">“Reconhecimento de Voz Ambiente” </w:t>
      </w:r>
      <w:r>
        <w:rPr>
          <w:rFonts w:ascii="Calibri" w:hAnsi="Calibri" w:cs="Calibri"/>
          <w:bCs/>
        </w:rPr>
        <w:t>designa a capacidade de registar um encontro de cuidados de saúde e receber um projeto de documento clínico resumido.</w:t>
      </w:r>
    </w:p>
    <w:p w14:paraId="6E13585A"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 xml:space="preserve">“Período de Indisponibilidade do Reconhecimento de Voz Ambiente” </w:t>
      </w:r>
      <w:r>
        <w:rPr>
          <w:rFonts w:ascii="Calibri" w:hAnsi="Calibri" w:cs="Calibri"/>
          <w:bCs/>
        </w:rPr>
        <w:t>designa o Período de Indisponibilidade aplicável ao Reconhecimento de Voz Ambiente. O Período de Indisponibilidade do Reconhecimento de Voz Ambiente é o período de tempo em minutos durante o qual o Reconhecimento de Voz Ambiente está materialmente degradado ou indisponível devido a uma falha, avaria ou outra interrupção de serviço pela qual a Microsoft é responsável. O Reconhecimento de Voz Ambiente será considerado materialmente degradado se o serviço não conseguir dar uma resposta no prazo de 15 minutos em condições normais de rede.</w:t>
      </w:r>
    </w:p>
    <w:p w14:paraId="773168FB"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 xml:space="preserve">“Reconhecimento de Voz Front-End” </w:t>
      </w:r>
      <w:r>
        <w:rPr>
          <w:rFonts w:ascii="Calibri" w:hAnsi="Calibri" w:cs="Calibri"/>
          <w:bCs/>
        </w:rPr>
        <w:t>designa a capacidade de ditar informações para a aplicação alvo e de desencadear ações específicas através de comandos de voz explícitos.</w:t>
      </w:r>
    </w:p>
    <w:p w14:paraId="3D9561CA"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“Período de Indisponibilidade do Reconhecimento de Voz Front-End”</w:t>
      </w:r>
      <w:r>
        <w:rPr>
          <w:rFonts w:ascii="Calibri" w:hAnsi="Calibri" w:cs="Calibri"/>
          <w:bCs/>
        </w:rPr>
        <w:t xml:space="preserve"> designa o Período de Indisponibilidade aplicável ao Reconhecimento de Voz Front-End. O Período de Indisponibilidade do Reconhecimento de Voz Front-End é o período de tempo em minutos durante o qual o Reconhecimento de Voz Front-End está materialmente degradado ou indisponível devido a uma falha, avaria ou outra interrupção de serviço pela qual a Microsoft é responsável. O Reconhecimento de Voz Front-End será considerado materialmente degradado se o serviço não conseguir dar uma resposta no prazo de 2 minutos em condições normais de rede.</w:t>
      </w:r>
    </w:p>
    <w:p w14:paraId="26D55EEC"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 xml:space="preserve">Percentagem de Período de Disponibilidade: </w:t>
      </w:r>
      <w:r>
        <w:rPr>
          <w:rFonts w:ascii="Calibri" w:hAnsi="Calibri" w:cs="Calibri"/>
          <w:bCs/>
        </w:rPr>
        <w:t>A Percentagem de Período de Disponibilidade para o Reconhecimento de Voz Ambiente é calculada com a seguinte fórmula:</w:t>
      </w:r>
    </w:p>
    <w:p w14:paraId="62A743B9" w14:textId="77777777" w:rsidR="00793E43" w:rsidRDefault="00000000" w:rsidP="00793E43">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Minutos de Utilizador - Período de Indisponibilidade do Reconhecimento de Voz Ambiente </m:t>
              </m:r>
            </m:num>
            <m:den>
              <m:r>
                <w:rPr>
                  <w:rFonts w:ascii="Cambria Math" w:hAnsi="Cambria Math"/>
                  <w:sz w:val="18"/>
                  <w:szCs w:val="18"/>
                </w:rPr>
                <m:t>Minutos de Utilizador</m:t>
              </m:r>
            </m:den>
          </m:f>
          <m:r>
            <w:rPr>
              <w:rFonts w:ascii="Cambria Math" w:hAnsi="Cambria Math"/>
              <w:sz w:val="18"/>
              <w:szCs w:val="18"/>
            </w:rPr>
            <m:t> x 100</m:t>
          </m:r>
        </m:oMath>
      </m:oMathPara>
    </w:p>
    <w:p w14:paraId="45DDEEB1" w14:textId="77777777" w:rsidR="00793E43" w:rsidRPr="005D7F76" w:rsidRDefault="00793E43" w:rsidP="00793E43">
      <w:pPr>
        <w:pStyle w:val="ProductList-Body"/>
        <w:rPr>
          <w:rFonts w:ascii="Calibri" w:hAnsi="Calibri" w:cs="Calibri"/>
          <w:bCs/>
        </w:rPr>
      </w:pPr>
      <w:r>
        <w:rPr>
          <w:rFonts w:ascii="Calibri" w:hAnsi="Calibri" w:cs="Calibri"/>
          <w:bCs/>
        </w:rPr>
        <w:t>em que o Período de Indisponibilidade do Reconhecimento de Voz Ambiente é medido em minutos de utilizador, ou seja, para cada Período Aplicável, o Período de Indisponibilidade do Reconhecimento de Voz Ambiente é a soma da duração (em minutos) de cada Incidente que ocorre durante o Período Aplicável multiplicada pelo número de utilizadores afetados por esse Incidente.</w:t>
      </w:r>
    </w:p>
    <w:p w14:paraId="6E1AD803" w14:textId="77777777" w:rsidR="00793E43" w:rsidRPr="005D7F76" w:rsidRDefault="00793E43" w:rsidP="00793E43">
      <w:pPr>
        <w:tabs>
          <w:tab w:val="left" w:pos="360"/>
          <w:tab w:val="left" w:pos="720"/>
          <w:tab w:val="left" w:pos="1080"/>
        </w:tabs>
        <w:spacing w:after="0" w:line="240" w:lineRule="auto"/>
        <w:rPr>
          <w:rFonts w:ascii="Calibri" w:hAnsi="Calibri" w:cs="Calibri"/>
          <w:bCs/>
          <w:sz w:val="18"/>
        </w:rPr>
      </w:pPr>
    </w:p>
    <w:p w14:paraId="16DDD185" w14:textId="77777777" w:rsidR="00793E43" w:rsidRPr="005D7F76" w:rsidRDefault="00793E43" w:rsidP="00793E43">
      <w:pPr>
        <w:pStyle w:val="ProductList-Body"/>
        <w:rPr>
          <w:rFonts w:ascii="Calibri" w:hAnsi="Calibri" w:cs="Calibri"/>
          <w:bCs/>
        </w:rPr>
      </w:pPr>
      <w:r>
        <w:rPr>
          <w:rFonts w:ascii="Calibri" w:hAnsi="Calibri" w:cs="Calibri"/>
          <w:bCs/>
        </w:rPr>
        <w:t>A Percentagem de Período de Disponibilidade para o Reconhecimento de Voz Front-End é calculada com a seguinte fórmula:</w:t>
      </w:r>
    </w:p>
    <w:p w14:paraId="56BB9A7B" w14:textId="77777777" w:rsidR="00793E43" w:rsidRDefault="00000000" w:rsidP="00793E43">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Minutos de Utilizador - Período de Indisponibilidade do Reconhecimento de Voz Front End </m:t>
              </m:r>
            </m:num>
            <m:den>
              <m:r>
                <w:rPr>
                  <w:rFonts w:ascii="Cambria Math" w:hAnsi="Cambria Math"/>
                  <w:sz w:val="18"/>
                  <w:szCs w:val="18"/>
                </w:rPr>
                <m:t>Minutos de Utilizador</m:t>
              </m:r>
            </m:den>
          </m:f>
          <m:r>
            <w:rPr>
              <w:rFonts w:ascii="Cambria Math" w:hAnsi="Cambria Math"/>
              <w:sz w:val="18"/>
              <w:szCs w:val="18"/>
            </w:rPr>
            <m:t> x 100</m:t>
          </m:r>
        </m:oMath>
      </m:oMathPara>
    </w:p>
    <w:p w14:paraId="76223F3D" w14:textId="77777777" w:rsidR="00793E43" w:rsidRPr="005D7F76" w:rsidRDefault="00793E43" w:rsidP="00793E43">
      <w:pPr>
        <w:pStyle w:val="ProductList-Body"/>
        <w:rPr>
          <w:rFonts w:ascii="Calibri" w:hAnsi="Calibri" w:cs="Calibri"/>
          <w:bCs/>
        </w:rPr>
      </w:pPr>
      <w:r>
        <w:rPr>
          <w:rFonts w:ascii="Calibri" w:hAnsi="Calibri" w:cs="Calibri"/>
          <w:bCs/>
        </w:rPr>
        <w:t>em que o Período de Indisponibilidade do Reconhecimento de Voz Front-End é medido em minutos de utilizador, ou seja, para cada Período Aplicável, o Período de Indisponibilidade do Reconhecimento de Voz Front-End é a soma da duração (em minutos) de cada Incidente que ocorre durante o Período Aplicável multiplicada pelo número de utilizadores afetados por esse Incidente.</w:t>
      </w:r>
    </w:p>
    <w:p w14:paraId="1AE11035" w14:textId="77777777" w:rsidR="00793E43" w:rsidRPr="000C6829" w:rsidRDefault="00793E43" w:rsidP="00793E43">
      <w:pPr>
        <w:tabs>
          <w:tab w:val="left" w:pos="360"/>
          <w:tab w:val="left" w:pos="720"/>
          <w:tab w:val="left" w:pos="1080"/>
        </w:tabs>
        <w:spacing w:after="0" w:line="240" w:lineRule="auto"/>
        <w:rPr>
          <w:rFonts w:ascii="Calibri" w:eastAsia="Aptos" w:hAnsi="Calibri" w:cs="Calibri"/>
          <w:color w:val="00188F"/>
          <w:sz w:val="18"/>
          <w:szCs w:val="18"/>
        </w:rPr>
      </w:pPr>
    </w:p>
    <w:p w14:paraId="47377D45" w14:textId="77777777" w:rsidR="00793E43" w:rsidRPr="000C6829" w:rsidRDefault="00793E43" w:rsidP="00793E43">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Serviço para Reconhecimento de Voz Ambiente: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793E43" w14:paraId="7F91525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6CDACDD" w14:textId="77777777" w:rsidR="00793E43" w:rsidRPr="00DA45B3"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Percentagem de Período de Disponibilidade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B6D6A3D" w14:textId="77777777" w:rsidR="00793E43" w:rsidRPr="00DA45B3"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Serviço</w:t>
            </w:r>
          </w:p>
        </w:tc>
      </w:tr>
      <w:tr w:rsidR="00793E43" w14:paraId="277CCFF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511C06F"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10258A"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793E43" w14:paraId="134C41B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43E0DE"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169B30"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6F8151E2" w14:textId="77777777" w:rsidR="00793E43" w:rsidRPr="000C6829" w:rsidRDefault="00793E43" w:rsidP="00793E43">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Serviço para Reconhecimento de Voz Front-End:</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793E43" w14:paraId="304B8281"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F2F2D7B" w14:textId="77777777" w:rsidR="00793E43" w:rsidRPr="00FB7EE5"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Percentagem de Período de Disponibilidade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FF0B48E" w14:textId="77777777" w:rsidR="00793E43" w:rsidRPr="00FB7EE5"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Serviço</w:t>
            </w:r>
          </w:p>
        </w:tc>
      </w:tr>
      <w:tr w:rsidR="00793E43" w14:paraId="5C1AC6D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DA5D50"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33AA6B8"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793E43" w14:paraId="2D1359D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4A484D"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C45590"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A6B6A58" w14:textId="77777777" w:rsidR="00793E43" w:rsidRPr="000C6829" w:rsidRDefault="00793E43" w:rsidP="00793E43">
      <w:pPr>
        <w:pStyle w:val="ProductList-Body"/>
        <w:spacing w:before="120"/>
        <w:rPr>
          <w:rFonts w:ascii="Calibri" w:hAnsi="Calibri" w:cs="Calibri"/>
          <w:b/>
          <w:color w:val="00188F"/>
        </w:rPr>
      </w:pPr>
      <w:r>
        <w:rPr>
          <w:rFonts w:ascii="Calibri" w:hAnsi="Calibri" w:cs="Calibri"/>
          <w:b/>
          <w:color w:val="00188F"/>
        </w:rPr>
        <w:t xml:space="preserve">Termos Adicionais: </w:t>
      </w:r>
    </w:p>
    <w:p w14:paraId="65DBA3DC" w14:textId="77777777" w:rsidR="00793E43" w:rsidRPr="000C6829" w:rsidRDefault="00793E43" w:rsidP="00793E43">
      <w:pPr>
        <w:spacing w:after="0" w:line="240" w:lineRule="auto"/>
        <w:rPr>
          <w:rFonts w:ascii="Calibri" w:hAnsi="Calibri" w:cs="Calibri"/>
          <w:sz w:val="18"/>
          <w:szCs w:val="18"/>
        </w:rPr>
      </w:pPr>
      <w:r>
        <w:rPr>
          <w:rFonts w:ascii="Calibri" w:hAnsi="Calibri" w:cs="Calibri"/>
          <w:sz w:val="18"/>
          <w:szCs w:val="18"/>
        </w:rPr>
        <w:t xml:space="preserve">Só é permitido um Crédito de Serviço para o Dragon Copilot durante um Período Aplicável. Quando um Cliente for, a qualquer outro título, elegível tanto para um Crédito de Serviço para Reconhecimento de Voz Front-End como para um Crédito de Serviço para Reconhecimento de Voz Ambiente, o Cliente pode reclamar o Crédito de Serviço de maior montante. </w:t>
      </w:r>
    </w:p>
    <w:p w14:paraId="227D5997" w14:textId="77777777" w:rsidR="00614A89" w:rsidRPr="00EF7CF9" w:rsidRDefault="00614A89" w:rsidP="00614A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A85610C" w14:textId="792A7D23" w:rsidR="005C2F5C" w:rsidRPr="00EF7CF9" w:rsidRDefault="005C2F5C" w:rsidP="00F01ED6">
      <w:pPr>
        <w:pStyle w:val="ProductList-Offering2Heading"/>
        <w:tabs>
          <w:tab w:val="clear" w:pos="360"/>
          <w:tab w:val="clear" w:pos="720"/>
          <w:tab w:val="clear" w:pos="1080"/>
        </w:tabs>
        <w:outlineLvl w:val="2"/>
      </w:pPr>
      <w:bookmarkStart w:id="443" w:name="_Toc214456897"/>
      <w:r>
        <w:t>Microsoft Power Automate</w:t>
      </w:r>
      <w:bookmarkEnd w:id="443"/>
    </w:p>
    <w:p w14:paraId="49E8FEB2" w14:textId="5E66464B"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em que os fluxos dos utilizadores não têm conectividade ao gateway para a Internet da</w:t>
      </w:r>
      <w:r w:rsidR="0074049A">
        <w:rPr>
          <w:szCs w:val="18"/>
        </w:rPr>
        <w:t> </w:t>
      </w:r>
      <w:r>
        <w:rPr>
          <w:szCs w:val="18"/>
        </w:rPr>
        <w:t>Microsoft.</w:t>
      </w:r>
    </w:p>
    <w:p w14:paraId="666A64CA" w14:textId="402497D7"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35410C1" w14:textId="49E92E2F" w:rsidR="005C2F5C"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7B13A9E1" w14:textId="32A264BA" w:rsidR="005C2F5C" w:rsidRDefault="00AC48A7" w:rsidP="00F01ED6">
      <w:pPr>
        <w:pStyle w:val="ProductList-Body"/>
        <w:ind w:right="153"/>
      </w:pPr>
      <w:r>
        <w:lastRenderedPageBreak/>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E8AA1C9" w14:textId="77777777" w:rsidR="000C15FB" w:rsidRDefault="000C15FB" w:rsidP="00F01ED6">
      <w:pPr>
        <w:pStyle w:val="ProductList-Body"/>
        <w:ind w:right="153"/>
      </w:pPr>
    </w:p>
    <w:p w14:paraId="28235451" w14:textId="77777777" w:rsidR="005C2F5C" w:rsidRPr="00EF7CF9" w:rsidRDefault="005C2F5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D9692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170FD9">
        <w:tc>
          <w:tcPr>
            <w:tcW w:w="5400" w:type="dxa"/>
          </w:tcPr>
          <w:p w14:paraId="24F0904F" w14:textId="77777777" w:rsidR="005C2F5C" w:rsidRPr="00EF7CF9" w:rsidRDefault="005C2F5C" w:rsidP="00F01ED6">
            <w:pPr>
              <w:pStyle w:val="ProductList-OfferingBody"/>
              <w:jc w:val="center"/>
            </w:pPr>
            <w:r>
              <w:t>&lt; 99,9%</w:t>
            </w:r>
          </w:p>
        </w:tc>
        <w:tc>
          <w:tcPr>
            <w:tcW w:w="5400" w:type="dxa"/>
          </w:tcPr>
          <w:p w14:paraId="3BDCE0EB" w14:textId="77777777" w:rsidR="005C2F5C" w:rsidRPr="00EF7CF9" w:rsidRDefault="005C2F5C" w:rsidP="00F01ED6">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F01ED6">
            <w:pPr>
              <w:pStyle w:val="ProductList-OfferingBody"/>
              <w:jc w:val="center"/>
            </w:pPr>
            <w:r>
              <w:t>&lt; 99%</w:t>
            </w:r>
          </w:p>
        </w:tc>
        <w:tc>
          <w:tcPr>
            <w:tcW w:w="5400" w:type="dxa"/>
          </w:tcPr>
          <w:p w14:paraId="23DBD8BB" w14:textId="77777777" w:rsidR="005C2F5C" w:rsidRPr="00EF7CF9" w:rsidRDefault="005C2F5C" w:rsidP="00F01ED6">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F01ED6">
            <w:pPr>
              <w:pStyle w:val="ProductList-OfferingBody"/>
              <w:jc w:val="center"/>
            </w:pPr>
            <w:r>
              <w:t>&lt; 95%</w:t>
            </w:r>
          </w:p>
        </w:tc>
        <w:tc>
          <w:tcPr>
            <w:tcW w:w="5400" w:type="dxa"/>
          </w:tcPr>
          <w:p w14:paraId="7055748A" w14:textId="77777777" w:rsidR="005C2F5C" w:rsidRPr="00EF7CF9" w:rsidRDefault="005C2F5C" w:rsidP="00F01ED6">
            <w:pPr>
              <w:pStyle w:val="ProductList-OfferingBody"/>
              <w:jc w:val="center"/>
            </w:pPr>
            <w:r>
              <w:t>100%</w:t>
            </w:r>
          </w:p>
        </w:tc>
      </w:tr>
    </w:tbl>
    <w:p w14:paraId="3CE8FC5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57EA08" w14:textId="77E43051" w:rsidR="00C22AAF" w:rsidRPr="00EF7CF9" w:rsidRDefault="00C22AAF" w:rsidP="00C22AAF">
      <w:pPr>
        <w:pStyle w:val="ProductList-Offering2Heading"/>
        <w:tabs>
          <w:tab w:val="clear" w:pos="360"/>
          <w:tab w:val="clear" w:pos="720"/>
          <w:tab w:val="clear" w:pos="1080"/>
        </w:tabs>
        <w:outlineLvl w:val="2"/>
      </w:pPr>
      <w:bookmarkStart w:id="444" w:name="_Toc214456898"/>
      <w:r>
        <w:t>Microsoft Power Pages</w:t>
      </w:r>
      <w:bookmarkEnd w:id="444"/>
    </w:p>
    <w:p w14:paraId="0679D084"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color w:val="242424"/>
          <w:sz w:val="18"/>
          <w:szCs w:val="18"/>
          <w:bdr w:val="none" w:sz="0" w:space="0" w:color="auto" w:frame="1"/>
        </w:rPr>
        <w:t>Este SLA é aplicável ao Web site do utilizador final que é publicado através do Power Pages se forem cumpridos os seguintes critérios: o site deve estar em modo de produção, ter a visibilidade do site definida como pública e estar associado a um ambiente de produção.</w:t>
      </w:r>
    </w:p>
    <w:p w14:paraId="0A411A1E"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Definições Adicionais:</w:t>
      </w:r>
    </w:p>
    <w:p w14:paraId="7E93B348"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“Total de Pedidos do Web Site”</w:t>
      </w:r>
      <w:r w:rsidRPr="00AF563D">
        <w:rPr>
          <w:rFonts w:eastAsia="Times New Roman" w:cstheme="minorHAnsi"/>
          <w:color w:val="000000"/>
          <w:sz w:val="18"/>
          <w:szCs w:val="18"/>
          <w:bdr w:val="none" w:sz="0" w:space="0" w:color="auto" w:frame="1"/>
        </w:rPr>
        <w:t xml:space="preserve"> designa o número total de pedidos do Web site feitos pelos utilizadores finais autorizados (autenticados ou anónimos) para um Web site do Power Pages durante um Período Aplicável.</w:t>
      </w:r>
    </w:p>
    <w:p w14:paraId="0351CED1"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“Pedidos do Web Site com Falhas”</w:t>
      </w:r>
      <w:r w:rsidRPr="00AF563D">
        <w:rPr>
          <w:rFonts w:eastAsia="Times New Roman" w:cstheme="minorHAnsi"/>
          <w:color w:val="000000"/>
          <w:sz w:val="18"/>
          <w:szCs w:val="18"/>
          <w:bdr w:val="none" w:sz="0" w:space="0" w:color="auto" w:frame="1"/>
        </w:rPr>
        <w:t> designa o número total de pedidos entre o Total de Pedidos do Web Site para os quais o Power Pages envia uma resposta de erro devido a um erro de sistema no Power Pages. Os erros de utilizadores, os problemas devido a um licenciamento inadequado ou os erros que resultam da configuração ou da personalização do cliente não estão incluídos nos Pedidos do Web Site com Falhas.</w:t>
      </w:r>
    </w:p>
    <w:p w14:paraId="32EFA9B3" w14:textId="77777777" w:rsidR="00AF563D" w:rsidRPr="00AF563D" w:rsidRDefault="00AF563D" w:rsidP="00AF563D">
      <w:pPr>
        <w:shd w:val="clear" w:color="auto" w:fill="FFFFFF"/>
        <w:spacing w:after="0" w:line="240" w:lineRule="auto"/>
        <w:rPr>
          <w:rFonts w:eastAsia="Times New Roman" w:cstheme="minorHAnsi"/>
          <w:color w:val="242424"/>
          <w:sz w:val="18"/>
          <w:szCs w:val="18"/>
          <w:bdr w:val="none" w:sz="0" w:space="0" w:color="auto" w:frame="1"/>
        </w:rPr>
      </w:pPr>
      <w:r w:rsidRPr="00AF563D">
        <w:rPr>
          <w:rFonts w:eastAsia="Times New Roman" w:cstheme="minorHAnsi"/>
          <w:b/>
          <w:bCs/>
          <w:color w:val="00188F"/>
          <w:sz w:val="18"/>
          <w:szCs w:val="18"/>
          <w:bdr w:val="none" w:sz="0" w:space="0" w:color="auto" w:frame="1"/>
        </w:rPr>
        <w:t>Percentagem de Período de Disponibilidade:</w:t>
      </w:r>
      <w:r w:rsidRPr="00AF563D">
        <w:rPr>
          <w:rFonts w:eastAsia="Times New Roman" w:cstheme="minorHAnsi"/>
          <w:color w:val="242424"/>
          <w:sz w:val="18"/>
          <w:szCs w:val="18"/>
          <w:bdr w:val="none" w:sz="0" w:space="0" w:color="auto" w:frame="1"/>
        </w:rPr>
        <w:t xml:space="preserve"> A Percentagem de Período de Disponibilidade é calculada através da seguinte fórmula:</w:t>
      </w:r>
    </w:p>
    <w:p w14:paraId="60414CA1" w14:textId="77777777" w:rsidR="00AF563D" w:rsidRPr="00F8560A" w:rsidRDefault="00000000" w:rsidP="008929C2">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 de Pedidos do Web Site-Pedidos do Web Site com Falhas</m:t>
              </m:r>
            </m:num>
            <m:den>
              <m:r>
                <w:rPr>
                  <w:rFonts w:ascii="Cambria Math" w:eastAsia="Calibri" w:hAnsi="Cambria Math" w:cs="Calibri"/>
                  <w:sz w:val="18"/>
                  <w:szCs w:val="18"/>
                </w:rPr>
                <m:t>Total de Pedidos de Web Sites</m:t>
              </m:r>
            </m:den>
          </m:f>
          <m:r>
            <w:rPr>
              <w:rFonts w:ascii="Cambria Math" w:eastAsia="Calibri" w:hAnsi="Cambria Math" w:cs="Calibri"/>
              <w:sz w:val="18"/>
              <w:szCs w:val="18"/>
            </w:rPr>
            <m:t xml:space="preserve"> x 100</m:t>
          </m:r>
        </m:oMath>
      </m:oMathPara>
    </w:p>
    <w:p w14:paraId="752C7655" w14:textId="166E6CF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563D" w:rsidRPr="00F8560A" w14:paraId="4B79FBAD" w14:textId="77777777" w:rsidTr="00EA2F1A">
        <w:trPr>
          <w:tblHeader/>
        </w:trPr>
        <w:tc>
          <w:tcPr>
            <w:tcW w:w="5400" w:type="dxa"/>
            <w:shd w:val="clear" w:color="auto" w:fill="0072C6"/>
          </w:tcPr>
          <w:p w14:paraId="45C4A45F"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Percentagem de Período de Disponibilidade</w:t>
            </w:r>
          </w:p>
        </w:tc>
        <w:tc>
          <w:tcPr>
            <w:tcW w:w="5400" w:type="dxa"/>
            <w:shd w:val="clear" w:color="auto" w:fill="0072C6"/>
          </w:tcPr>
          <w:p w14:paraId="23E2B657"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Crédito de Serviço</w:t>
            </w:r>
          </w:p>
        </w:tc>
      </w:tr>
      <w:tr w:rsidR="00AF563D" w:rsidRPr="00F8560A" w14:paraId="2BB23337" w14:textId="77777777" w:rsidTr="00EA2F1A">
        <w:tc>
          <w:tcPr>
            <w:tcW w:w="5400" w:type="dxa"/>
          </w:tcPr>
          <w:p w14:paraId="21B8EE0C"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&lt; 99,9%</w:t>
            </w:r>
          </w:p>
        </w:tc>
        <w:tc>
          <w:tcPr>
            <w:tcW w:w="5400" w:type="dxa"/>
          </w:tcPr>
          <w:p w14:paraId="4E90FFCD"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10%</w:t>
            </w:r>
          </w:p>
        </w:tc>
      </w:tr>
    </w:tbl>
    <w:p w14:paraId="471C36B5" w14:textId="77777777" w:rsidR="00AF563D" w:rsidRPr="00EF7CF9" w:rsidRDefault="00AF563D" w:rsidP="00AF56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A652E1" w14:textId="76735D7E" w:rsidR="00040759" w:rsidRPr="00EF7CF9" w:rsidRDefault="00040759" w:rsidP="00AD1888">
      <w:pPr>
        <w:pStyle w:val="ProductList-Offering2Heading"/>
        <w:tabs>
          <w:tab w:val="clear" w:pos="360"/>
          <w:tab w:val="clear" w:pos="720"/>
          <w:tab w:val="clear" w:pos="1080"/>
        </w:tabs>
        <w:outlineLvl w:val="2"/>
      </w:pPr>
      <w:bookmarkStart w:id="445" w:name="_Toc214456899"/>
      <w:r>
        <w:t>Microsoft Intune</w:t>
      </w:r>
      <w:bookmarkEnd w:id="439"/>
      <w:bookmarkEnd w:id="445"/>
    </w:p>
    <w:p w14:paraId="40C62B19" w14:textId="77445B94" w:rsidR="00040759" w:rsidRPr="0074049A" w:rsidRDefault="00040759"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w:t>
      </w:r>
      <w:r w:rsidRPr="0074049A">
        <w:rPr>
          <w:spacing w:val="-3"/>
          <w:szCs w:val="18"/>
        </w:rPr>
        <w:t>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26A518D2" w14:textId="675F9BA8" w:rsidR="00040759"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D1D4ECA" w14:textId="1722D0B6" w:rsidR="00040759"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864548D" w14:textId="0222B506" w:rsidR="0004075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EA55B33" w14:textId="77777777" w:rsidR="000C15FB" w:rsidRDefault="000C15FB" w:rsidP="00F01ED6">
      <w:pPr>
        <w:pStyle w:val="ProductList-Body"/>
        <w:ind w:right="153"/>
      </w:pPr>
    </w:p>
    <w:p w14:paraId="29DA534D" w14:textId="3B9D6918" w:rsidR="00040759" w:rsidRPr="00EF7CF9" w:rsidRDefault="0004075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733245B" w14:textId="77777777" w:rsidR="00040759" w:rsidRPr="00EF7CF9" w:rsidRDefault="00040759" w:rsidP="00F01ED6">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085CEE">
        <w:tc>
          <w:tcPr>
            <w:tcW w:w="5400" w:type="dxa"/>
          </w:tcPr>
          <w:p w14:paraId="20268779" w14:textId="77777777" w:rsidR="00040759" w:rsidRPr="00EF7CF9" w:rsidRDefault="00040759" w:rsidP="00F01ED6">
            <w:pPr>
              <w:pStyle w:val="ProductList-OfferingBody"/>
              <w:jc w:val="center"/>
            </w:pPr>
            <w:r>
              <w:t>&lt; 99,9%</w:t>
            </w:r>
          </w:p>
        </w:tc>
        <w:tc>
          <w:tcPr>
            <w:tcW w:w="5400" w:type="dxa"/>
          </w:tcPr>
          <w:p w14:paraId="0127DF9D" w14:textId="77777777" w:rsidR="00040759" w:rsidRPr="00EF7CF9" w:rsidRDefault="00040759" w:rsidP="00F01ED6">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F01ED6">
            <w:pPr>
              <w:pStyle w:val="ProductList-OfferingBody"/>
              <w:jc w:val="center"/>
            </w:pPr>
            <w:r>
              <w:t>&lt; 99%</w:t>
            </w:r>
          </w:p>
        </w:tc>
        <w:tc>
          <w:tcPr>
            <w:tcW w:w="5400" w:type="dxa"/>
          </w:tcPr>
          <w:p w14:paraId="0E80EF14" w14:textId="77777777" w:rsidR="00040759" w:rsidRPr="00EF7CF9" w:rsidRDefault="00040759" w:rsidP="00F01ED6">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F01ED6">
            <w:pPr>
              <w:pStyle w:val="ProductList-OfferingBody"/>
              <w:jc w:val="center"/>
            </w:pPr>
            <w:r>
              <w:t>&lt; 95%</w:t>
            </w:r>
          </w:p>
        </w:tc>
        <w:tc>
          <w:tcPr>
            <w:tcW w:w="5400" w:type="dxa"/>
          </w:tcPr>
          <w:p w14:paraId="6EC1209C" w14:textId="77777777" w:rsidR="00040759" w:rsidRPr="00EF7CF9" w:rsidRDefault="00040759" w:rsidP="00F01ED6">
            <w:pPr>
              <w:pStyle w:val="ProductList-OfferingBody"/>
              <w:jc w:val="center"/>
            </w:pPr>
            <w:r>
              <w:t>100%</w:t>
            </w:r>
          </w:p>
        </w:tc>
      </w:tr>
    </w:tbl>
    <w:p w14:paraId="4699F220" w14:textId="77777777" w:rsidR="00040759" w:rsidRPr="00494F85" w:rsidRDefault="00040759" w:rsidP="00F01ED6">
      <w:pPr>
        <w:pStyle w:val="ProductList-Body"/>
        <w:rPr>
          <w:sz w:val="12"/>
          <w:szCs w:val="12"/>
        </w:rPr>
      </w:pPr>
    </w:p>
    <w:p w14:paraId="1AEA814F" w14:textId="3785A2AB" w:rsidR="00040759" w:rsidRPr="00EF7CF9" w:rsidRDefault="00040759" w:rsidP="00F01ED6">
      <w:pPr>
        <w:pStyle w:val="ProductList-Body"/>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146E03">
        <w:t> </w:t>
      </w:r>
      <w:r>
        <w:t>serviços baseados na Internet (excluindo o Serviço do Microsoft Intune) que forneçam atualizações a qualquer software no local licenciado como parte da subscrição do Serviço.</w:t>
      </w:r>
    </w:p>
    <w:p w14:paraId="5325FF1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C0C7EA3" w14:textId="5A5ED172" w:rsidR="00B4740C" w:rsidRPr="00EF7CF9" w:rsidRDefault="00B4740C" w:rsidP="00F01ED6">
      <w:pPr>
        <w:pStyle w:val="ProductList-Offering2Heading"/>
        <w:keepNext/>
        <w:outlineLvl w:val="2"/>
      </w:pPr>
      <w:bookmarkStart w:id="446" w:name="_Toc214456900"/>
      <w:r>
        <w:lastRenderedPageBreak/>
        <w:t>Microsoft Kaizala Pro</w:t>
      </w:r>
      <w:bookmarkEnd w:id="446"/>
    </w:p>
    <w:p w14:paraId="4662FA79" w14:textId="291BF666" w:rsidR="00B4740C" w:rsidRPr="00EF7CF9" w:rsidRDefault="008835A9"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publicar uma mensagem nos grupos das organizações para os quais têm as permissões adequadas.</w:t>
      </w:r>
    </w:p>
    <w:p w14:paraId="69788DFB" w14:textId="49F29779" w:rsidR="00B4740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E61F59D" w14:textId="41C374A0" w:rsidR="00B4740C"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F18822C" w14:textId="60BC009E" w:rsidR="00B4740C"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C31B106" w14:textId="77777777" w:rsidR="000C15FB" w:rsidRDefault="000C15FB" w:rsidP="00F01ED6">
      <w:pPr>
        <w:pStyle w:val="ProductList-Body"/>
        <w:ind w:right="162"/>
      </w:pPr>
    </w:p>
    <w:p w14:paraId="3EEDCC5E" w14:textId="6C502919" w:rsidR="00B4740C" w:rsidRPr="00EF7CF9" w:rsidRDefault="00B474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008F05" w14:textId="77777777" w:rsidR="00B4740C" w:rsidRPr="00EF7CF9" w:rsidRDefault="00B4740C" w:rsidP="00F01ED6">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B0776A">
        <w:tc>
          <w:tcPr>
            <w:tcW w:w="5400" w:type="dxa"/>
          </w:tcPr>
          <w:p w14:paraId="16D69F82" w14:textId="77777777" w:rsidR="00B4740C" w:rsidRPr="00EF7CF9" w:rsidRDefault="00B4740C" w:rsidP="00F01ED6">
            <w:pPr>
              <w:pStyle w:val="ProductList-OfferingBody"/>
              <w:jc w:val="center"/>
            </w:pPr>
            <w:r>
              <w:t>&lt; 99,9%</w:t>
            </w:r>
          </w:p>
        </w:tc>
        <w:tc>
          <w:tcPr>
            <w:tcW w:w="5400" w:type="dxa"/>
          </w:tcPr>
          <w:p w14:paraId="42B1F6F3" w14:textId="77777777" w:rsidR="00B4740C" w:rsidRPr="00EF7CF9" w:rsidRDefault="00B4740C" w:rsidP="00F01ED6">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F01ED6">
            <w:pPr>
              <w:pStyle w:val="ProductList-OfferingBody"/>
              <w:jc w:val="center"/>
            </w:pPr>
            <w:r>
              <w:t>&lt; 99%</w:t>
            </w:r>
          </w:p>
        </w:tc>
        <w:tc>
          <w:tcPr>
            <w:tcW w:w="5400" w:type="dxa"/>
          </w:tcPr>
          <w:p w14:paraId="36B5824F" w14:textId="77777777" w:rsidR="00B4740C" w:rsidRPr="00EF7CF9" w:rsidRDefault="00B4740C" w:rsidP="00F01ED6">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F01ED6">
            <w:pPr>
              <w:pStyle w:val="ProductList-OfferingBody"/>
              <w:jc w:val="center"/>
            </w:pPr>
            <w:r>
              <w:t>&lt; 95%</w:t>
            </w:r>
          </w:p>
        </w:tc>
        <w:tc>
          <w:tcPr>
            <w:tcW w:w="5400" w:type="dxa"/>
          </w:tcPr>
          <w:p w14:paraId="6DC66DA2" w14:textId="77777777" w:rsidR="00B4740C" w:rsidRPr="00EF7CF9" w:rsidRDefault="00B4740C" w:rsidP="00F01ED6">
            <w:pPr>
              <w:pStyle w:val="ProductList-OfferingBody"/>
              <w:jc w:val="center"/>
            </w:pPr>
            <w:r>
              <w:t>100%</w:t>
            </w:r>
          </w:p>
        </w:tc>
      </w:tr>
    </w:tbl>
    <w:p w14:paraId="6DD3E623"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1AF830" w14:textId="5C01A2B3" w:rsidR="005C2F5C" w:rsidRPr="00EF7CF9" w:rsidRDefault="005C2F5C" w:rsidP="00D6770D">
      <w:pPr>
        <w:pStyle w:val="ProductList-Offering2Heading"/>
        <w:keepNext/>
        <w:tabs>
          <w:tab w:val="clear" w:pos="360"/>
          <w:tab w:val="clear" w:pos="720"/>
          <w:tab w:val="clear" w:pos="1080"/>
        </w:tabs>
        <w:outlineLvl w:val="2"/>
      </w:pPr>
      <w:bookmarkStart w:id="447" w:name="_Toc214456901"/>
      <w:r>
        <w:t>Microsoft Power Apps</w:t>
      </w:r>
      <w:bookmarkEnd w:id="447"/>
    </w:p>
    <w:p w14:paraId="5CE1D2EF" w14:textId="231BF3A3"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dos dados no Microsoft Power Apps para os quais têm permissões adequadas.</w:t>
      </w:r>
    </w:p>
    <w:p w14:paraId="55599CC6" w14:textId="23D6BB75"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AAB2FAD" w14:textId="21AF1844" w:rsidR="005C2F5C"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7450D62A" w14:textId="27465AEE" w:rsidR="005C2F5C"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F50BBB2" w14:textId="77777777" w:rsidR="000C15FB" w:rsidRDefault="000C15FB" w:rsidP="00F01ED6">
      <w:pPr>
        <w:pStyle w:val="ProductList-Body"/>
        <w:ind w:right="135"/>
      </w:pPr>
    </w:p>
    <w:p w14:paraId="7568F746" w14:textId="77777777" w:rsidR="005C2F5C" w:rsidRPr="00EF7CF9" w:rsidRDefault="005C2F5C"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2AAB71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170FD9">
        <w:tc>
          <w:tcPr>
            <w:tcW w:w="5400" w:type="dxa"/>
          </w:tcPr>
          <w:p w14:paraId="5B65AE53" w14:textId="77777777" w:rsidR="005C2F5C" w:rsidRPr="00EF7CF9" w:rsidRDefault="005C2F5C" w:rsidP="00F01ED6">
            <w:pPr>
              <w:pStyle w:val="ProductList-OfferingBody"/>
              <w:jc w:val="center"/>
            </w:pPr>
            <w:r>
              <w:t>&lt; 99,9%</w:t>
            </w:r>
          </w:p>
        </w:tc>
        <w:tc>
          <w:tcPr>
            <w:tcW w:w="5400" w:type="dxa"/>
          </w:tcPr>
          <w:p w14:paraId="66DD7CC4" w14:textId="77777777" w:rsidR="005C2F5C" w:rsidRPr="00EF7CF9" w:rsidRDefault="005C2F5C" w:rsidP="00F01ED6">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F01ED6">
            <w:pPr>
              <w:pStyle w:val="ProductList-OfferingBody"/>
              <w:jc w:val="center"/>
            </w:pPr>
            <w:r>
              <w:t>&lt; 99%</w:t>
            </w:r>
          </w:p>
        </w:tc>
        <w:tc>
          <w:tcPr>
            <w:tcW w:w="5400" w:type="dxa"/>
          </w:tcPr>
          <w:p w14:paraId="3D07B2D8" w14:textId="77777777" w:rsidR="005C2F5C" w:rsidRPr="00EF7CF9" w:rsidRDefault="005C2F5C" w:rsidP="00F01ED6">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F01ED6">
            <w:pPr>
              <w:pStyle w:val="ProductList-OfferingBody"/>
              <w:jc w:val="center"/>
            </w:pPr>
            <w:r>
              <w:t>&lt; 95%</w:t>
            </w:r>
          </w:p>
        </w:tc>
        <w:tc>
          <w:tcPr>
            <w:tcW w:w="5400" w:type="dxa"/>
          </w:tcPr>
          <w:p w14:paraId="69ECA17B" w14:textId="77777777" w:rsidR="005C2F5C" w:rsidRPr="00EF7CF9" w:rsidRDefault="005C2F5C" w:rsidP="00F01ED6">
            <w:pPr>
              <w:pStyle w:val="ProductList-OfferingBody"/>
              <w:jc w:val="center"/>
            </w:pPr>
            <w:r>
              <w:t>100%</w:t>
            </w:r>
          </w:p>
        </w:tc>
      </w:tr>
    </w:tbl>
    <w:bookmarkStart w:id="448" w:name="_Toc34826924"/>
    <w:p w14:paraId="4BA6A2F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0E9B8B" w14:textId="63A5BA6C" w:rsidR="00BF3499" w:rsidRPr="009B10D0" w:rsidRDefault="00BF3499" w:rsidP="008929C2">
      <w:pPr>
        <w:pStyle w:val="ProductList-Offering2Heading"/>
        <w:keepNext/>
        <w:tabs>
          <w:tab w:val="clear" w:pos="360"/>
          <w:tab w:val="clear" w:pos="720"/>
          <w:tab w:val="clear" w:pos="1080"/>
        </w:tabs>
        <w:outlineLvl w:val="2"/>
      </w:pPr>
      <w:bookmarkStart w:id="449" w:name="_Toc214456902"/>
      <w:r w:rsidRPr="009B10D0">
        <w:t xml:space="preserve">Microsoft </w:t>
      </w:r>
      <w:bookmarkEnd w:id="448"/>
      <w:r w:rsidR="009B10D0" w:rsidRPr="009B10D0">
        <w:t>Copilot Studio</w:t>
      </w:r>
      <w:bookmarkEnd w:id="449"/>
    </w:p>
    <w:p w14:paraId="64720E1E" w14:textId="77777777" w:rsidR="00BF3499" w:rsidRPr="00CB7596" w:rsidRDefault="00BF3499" w:rsidP="00F01ED6">
      <w:pPr>
        <w:shd w:val="clear" w:color="auto" w:fill="FFFFFF"/>
        <w:spacing w:after="0" w:line="240" w:lineRule="auto"/>
        <w:rPr>
          <w:rFonts w:ascii="Calibri" w:eastAsia="Calibri" w:hAnsi="Calibri" w:cs="Arial"/>
          <w:b/>
          <w:color w:val="00188F"/>
          <w:sz w:val="18"/>
          <w:szCs w:val="18"/>
        </w:rPr>
      </w:pPr>
      <w:r w:rsidRPr="00CB7596">
        <w:rPr>
          <w:rFonts w:ascii="Calibri" w:eastAsia="Calibri" w:hAnsi="Calibri" w:cs="Arial"/>
          <w:b/>
          <w:color w:val="00188F"/>
          <w:sz w:val="18"/>
          <w:szCs w:val="18"/>
        </w:rPr>
        <w:t xml:space="preserve">Definições Adicionais: </w:t>
      </w:r>
    </w:p>
    <w:p w14:paraId="06948106" w14:textId="0E5EACD6" w:rsidR="00BF3499" w:rsidRPr="00CB7596" w:rsidRDefault="00380305" w:rsidP="00F01ED6">
      <w:pPr>
        <w:shd w:val="clear" w:color="auto" w:fill="FFFFFF"/>
        <w:spacing w:after="0" w:line="240" w:lineRule="auto"/>
        <w:jc w:val="both"/>
        <w:rPr>
          <w:rFonts w:ascii="Calibri" w:eastAsia="Calibri" w:hAnsi="Calibri" w:cs="Arial"/>
          <w:spacing w:val="-3"/>
          <w:sz w:val="18"/>
          <w:szCs w:val="18"/>
        </w:rPr>
      </w:pPr>
      <w:r w:rsidRPr="00CB7596">
        <w:rPr>
          <w:sz w:val="18"/>
          <w:szCs w:val="18"/>
        </w:rPr>
        <w:t>“</w:t>
      </w:r>
      <w:r w:rsidR="00BF3499" w:rsidRPr="00CB7596">
        <w:rPr>
          <w:rFonts w:ascii="Calibri" w:eastAsia="Calibri" w:hAnsi="Calibri" w:cs="Arial"/>
          <w:b/>
          <w:color w:val="00188F"/>
          <w:spacing w:val="-3"/>
          <w:sz w:val="18"/>
          <w:szCs w:val="18"/>
        </w:rPr>
        <w:t>Total de Pedidos de Mensagens</w:t>
      </w:r>
      <w:r w:rsidRPr="00CB7596">
        <w:rPr>
          <w:sz w:val="18"/>
          <w:szCs w:val="18"/>
        </w:rPr>
        <w:t>”</w:t>
      </w:r>
      <w:r w:rsidR="00BF3499" w:rsidRPr="00CB7596">
        <w:rPr>
          <w:sz w:val="18"/>
          <w:szCs w:val="18"/>
        </w:rPr>
        <w:t> é</w:t>
      </w:r>
      <w:r w:rsidR="00BF3499" w:rsidRPr="00CB7596">
        <w:rPr>
          <w:rFonts w:ascii="Calibri" w:eastAsia="Calibri" w:hAnsi="Calibri" w:cs="Arial"/>
          <w:spacing w:val="-3"/>
          <w:sz w:val="18"/>
          <w:szCs w:val="18"/>
        </w:rPr>
        <w:t xml:space="preserve"> o número total de pedidos efetuados por um utilizador final para o </w:t>
      </w:r>
      <w:r w:rsidR="009B10D0">
        <w:rPr>
          <w:rFonts w:ascii="Calibri" w:eastAsia="Calibri" w:hAnsi="Calibri" w:cs="Arial"/>
          <w:spacing w:val="-3"/>
          <w:sz w:val="18"/>
          <w:szCs w:val="18"/>
        </w:rPr>
        <w:t>Copilot Studio</w:t>
      </w:r>
      <w:r w:rsidR="00BF3499" w:rsidRPr="00CB7596">
        <w:rPr>
          <w:rFonts w:ascii="Calibri" w:eastAsia="Calibri" w:hAnsi="Calibri" w:cs="Arial"/>
          <w:spacing w:val="-3"/>
          <w:sz w:val="18"/>
          <w:szCs w:val="18"/>
        </w:rPr>
        <w:t xml:space="preserve"> durante um Período Aplicável.</w:t>
      </w:r>
    </w:p>
    <w:p w14:paraId="0140F598" w14:textId="76F266E4" w:rsidR="00BF3499" w:rsidRPr="00CB7596" w:rsidRDefault="00380305" w:rsidP="00F01ED6">
      <w:pPr>
        <w:shd w:val="clear" w:color="auto" w:fill="FFFFFF"/>
        <w:spacing w:after="0" w:line="240" w:lineRule="auto"/>
        <w:rPr>
          <w:rFonts w:ascii="Calibri" w:eastAsia="Calibri" w:hAnsi="Calibri" w:cs="Arial"/>
          <w:sz w:val="18"/>
          <w:szCs w:val="18"/>
        </w:rPr>
      </w:pPr>
      <w:r w:rsidRPr="00CB7596">
        <w:rPr>
          <w:sz w:val="18"/>
        </w:rPr>
        <w:t>“</w:t>
      </w:r>
      <w:r w:rsidR="00BF3499" w:rsidRPr="00CB7596">
        <w:rPr>
          <w:rFonts w:ascii="Calibri" w:eastAsia="Calibri" w:hAnsi="Calibri" w:cs="Arial"/>
          <w:b/>
          <w:color w:val="00188F"/>
          <w:sz w:val="18"/>
          <w:szCs w:val="18"/>
        </w:rPr>
        <w:t>Pedidos de Mensagens com Falha</w:t>
      </w:r>
      <w:r w:rsidRPr="00CB7596">
        <w:rPr>
          <w:sz w:val="18"/>
        </w:rPr>
        <w:t>”</w:t>
      </w:r>
      <w:r w:rsidR="00BF3499" w:rsidRPr="00CB7596">
        <w:rPr>
          <w:rFonts w:ascii="Calibri" w:eastAsia="Calibri" w:hAnsi="Calibri" w:cs="Arial"/>
          <w:sz w:val="18"/>
          <w:szCs w:val="18"/>
        </w:rPr>
        <w:t xml:space="preserve"> designa o número total de pedidos no Total de Pedidos de Mensagens para o qual o </w:t>
      </w:r>
      <w:r w:rsidR="009B10D0">
        <w:rPr>
          <w:rFonts w:ascii="Calibri" w:eastAsia="Calibri" w:hAnsi="Calibri" w:cs="Arial"/>
          <w:spacing w:val="-3"/>
          <w:sz w:val="18"/>
          <w:szCs w:val="18"/>
        </w:rPr>
        <w:t>Copilot Studio</w:t>
      </w:r>
      <w:r w:rsidR="009B10D0" w:rsidRPr="00CB7596">
        <w:rPr>
          <w:rFonts w:ascii="Calibri" w:eastAsia="Calibri" w:hAnsi="Calibri" w:cs="Arial"/>
          <w:spacing w:val="-3"/>
          <w:sz w:val="18"/>
          <w:szCs w:val="18"/>
        </w:rPr>
        <w:t xml:space="preserve"> </w:t>
      </w:r>
      <w:r w:rsidR="00BF3499" w:rsidRPr="00CB7596">
        <w:rPr>
          <w:rFonts w:ascii="Calibri" w:eastAsia="Calibri" w:hAnsi="Calibri" w:cs="Arial"/>
          <w:sz w:val="18"/>
          <w:szCs w:val="18"/>
        </w:rPr>
        <w:t>é</w:t>
      </w:r>
      <w:r w:rsidR="0087146A">
        <w:rPr>
          <w:rFonts w:ascii="Calibri" w:eastAsia="Calibri" w:hAnsi="Calibri" w:cs="Arial"/>
          <w:sz w:val="18"/>
          <w:szCs w:val="18"/>
        </w:rPr>
        <w:t> </w:t>
      </w:r>
      <w:r w:rsidR="00BF3499" w:rsidRPr="00CB7596">
        <w:rPr>
          <w:rFonts w:ascii="Calibri" w:eastAsia="Calibri" w:hAnsi="Calibri" w:cs="Arial"/>
          <w:sz w:val="18"/>
          <w:szCs w:val="18"/>
        </w:rPr>
        <w:t xml:space="preserve">incapaz de enviar uma mensagem de resposta devido a um erro do sistema no </w:t>
      </w:r>
      <w:r w:rsidR="009B10D0">
        <w:rPr>
          <w:rFonts w:ascii="Calibri" w:eastAsia="Calibri" w:hAnsi="Calibri" w:cs="Arial"/>
          <w:spacing w:val="-3"/>
          <w:sz w:val="18"/>
          <w:szCs w:val="18"/>
        </w:rPr>
        <w:t>Copilot Studio</w:t>
      </w:r>
      <w:r w:rsidR="00BF3499" w:rsidRPr="00CB7596">
        <w:rPr>
          <w:rFonts w:ascii="Calibri" w:eastAsia="Calibri" w:hAnsi="Calibri" w:cs="Arial"/>
          <w:sz w:val="18"/>
          <w:szCs w:val="18"/>
        </w:rPr>
        <w:t>.</w:t>
      </w:r>
    </w:p>
    <w:p w14:paraId="777E0808" w14:textId="3CC75F91" w:rsidR="00BF3499" w:rsidRPr="00CB7596" w:rsidRDefault="00AC48A7" w:rsidP="00F01ED6">
      <w:pPr>
        <w:tabs>
          <w:tab w:val="left" w:pos="360"/>
          <w:tab w:val="left" w:pos="720"/>
          <w:tab w:val="left" w:pos="1080"/>
        </w:tabs>
        <w:spacing w:after="0" w:line="240" w:lineRule="auto"/>
        <w:rPr>
          <w:rFonts w:ascii="Calibri" w:eastAsia="Calibri" w:hAnsi="Calibri" w:cs="Arial"/>
          <w:sz w:val="18"/>
          <w:szCs w:val="18"/>
        </w:rPr>
      </w:pPr>
      <w:r w:rsidRPr="00CB7596">
        <w:rPr>
          <w:rFonts w:ascii="Calibri" w:eastAsia="Calibri" w:hAnsi="Calibri" w:cs="Arial"/>
          <w:b/>
          <w:color w:val="00188F"/>
          <w:sz w:val="18"/>
          <w:szCs w:val="18"/>
        </w:rPr>
        <w:t>Percentagem de Período de Disponibilidade</w:t>
      </w:r>
      <w:r w:rsidRPr="00473DD3">
        <w:rPr>
          <w:rFonts w:ascii="Calibri" w:eastAsia="Calibri" w:hAnsi="Calibri" w:cs="Arial"/>
          <w:b/>
          <w:color w:val="00188F"/>
          <w:sz w:val="18"/>
          <w:szCs w:val="18"/>
        </w:rPr>
        <w:t>:</w:t>
      </w:r>
      <w:r w:rsidRPr="00CB7596">
        <w:rPr>
          <w:rFonts w:ascii="Calibri" w:eastAsia="Calibri" w:hAnsi="Calibri" w:cs="Arial"/>
          <w:sz w:val="18"/>
          <w:szCs w:val="18"/>
        </w:rPr>
        <w:t xml:space="preserve"> A Percentagem de Período de Disponibilidade é calculada através da seguinte fórmula:</w:t>
      </w:r>
    </w:p>
    <w:p w14:paraId="5FFCCA93" w14:textId="69F3D59D" w:rsidR="00BF3499" w:rsidRPr="001878FE" w:rsidRDefault="00000000" w:rsidP="008929C2">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Pedidos de Mensagens-Pedidos de Mensagens com Falha</m:t>
              </m:r>
            </m:num>
            <m:den>
              <m:r>
                <m:rPr>
                  <m:nor/>
                </m:rPr>
                <w:rPr>
                  <w:rFonts w:ascii="Cambria Math" w:eastAsia="Calibri" w:hAnsi="Cambria Math" w:cs="Calibri"/>
                  <w:i/>
                  <w:iCs/>
                  <w:sz w:val="18"/>
                  <w:szCs w:val="18"/>
                </w:rPr>
                <m:t>Total de Pedidos de Mensagens</m:t>
              </m:r>
            </m:den>
          </m:f>
          <m:r>
            <w:rPr>
              <w:rFonts w:ascii="Cambria Math" w:eastAsia="Calibri" w:hAnsi="Cambria Math" w:cs="Calibri"/>
              <w:sz w:val="18"/>
              <w:szCs w:val="18"/>
            </w:rPr>
            <m:t xml:space="preserve"> x 100</m:t>
          </m:r>
        </m:oMath>
      </m:oMathPara>
    </w:p>
    <w:p w14:paraId="7FF4554C" w14:textId="11163129" w:rsidR="00BF3499" w:rsidRDefault="00BF3499" w:rsidP="00F01E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73DD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374576">
        <w:trPr>
          <w:tblHeader/>
        </w:trPr>
        <w:tc>
          <w:tcPr>
            <w:tcW w:w="5395" w:type="dxa"/>
            <w:shd w:val="clear" w:color="auto" w:fill="0072C6"/>
          </w:tcPr>
          <w:p w14:paraId="5B793407" w14:textId="47AA0289" w:rsidR="00BF3499" w:rsidRPr="006D4DC5"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CDCE47" w14:textId="77777777" w:rsidR="00BF3499" w:rsidRPr="006D4DC5" w:rsidRDefault="00BF3499" w:rsidP="00F01ED6">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374576">
        <w:trPr>
          <w:tblHeader/>
        </w:trPr>
        <w:tc>
          <w:tcPr>
            <w:tcW w:w="5395" w:type="dxa"/>
          </w:tcPr>
          <w:p w14:paraId="603E5022" w14:textId="77777777" w:rsidR="00BF3499" w:rsidRDefault="00BF3499" w:rsidP="00F01ED6">
            <w:pPr>
              <w:pStyle w:val="ProductList-OfferingBody"/>
              <w:jc w:val="center"/>
              <w:rPr>
                <w:color w:val="000000" w:themeColor="text1"/>
              </w:rPr>
            </w:pPr>
            <w:r>
              <w:t>&lt; 99,9%</w:t>
            </w:r>
          </w:p>
        </w:tc>
        <w:tc>
          <w:tcPr>
            <w:tcW w:w="5400" w:type="dxa"/>
          </w:tcPr>
          <w:p w14:paraId="51950A0F" w14:textId="77777777" w:rsidR="00BF3499" w:rsidRDefault="00BF3499" w:rsidP="00F01ED6">
            <w:pPr>
              <w:pStyle w:val="ProductList-OfferingBody"/>
              <w:jc w:val="center"/>
              <w:rPr>
                <w:color w:val="000000" w:themeColor="text1"/>
              </w:rPr>
            </w:pPr>
            <w:r>
              <w:t>10%</w:t>
            </w:r>
          </w:p>
        </w:tc>
      </w:tr>
    </w:tbl>
    <w:bookmarkStart w:id="450" w:name="_Toc102075655"/>
    <w:p w14:paraId="5A8ADD3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56F238F" w14:textId="77777777" w:rsidR="00653932" w:rsidRDefault="00653932">
      <w:pPr>
        <w:rPr>
          <w:rFonts w:asciiTheme="majorHAnsi" w:hAnsiTheme="majorHAnsi"/>
          <w:b/>
          <w:color w:val="0072C6"/>
          <w:sz w:val="28"/>
        </w:rPr>
      </w:pPr>
      <w:r>
        <w:br w:type="page"/>
      </w:r>
    </w:p>
    <w:p w14:paraId="41989FDF" w14:textId="441C1C1B" w:rsidR="00F52BD7" w:rsidRPr="00EF7CF9" w:rsidRDefault="00F52BD7" w:rsidP="00F01ED6">
      <w:pPr>
        <w:pStyle w:val="ProductList-Offering2Heading"/>
        <w:tabs>
          <w:tab w:val="clear" w:pos="360"/>
          <w:tab w:val="clear" w:pos="720"/>
          <w:tab w:val="clear" w:pos="1080"/>
        </w:tabs>
        <w:outlineLvl w:val="2"/>
      </w:pPr>
      <w:bookmarkStart w:id="451" w:name="_Toc214456903"/>
      <w:r>
        <w:lastRenderedPageBreak/>
        <w:t>Gestor de Sustentabilidade da Microsoft</w:t>
      </w:r>
      <w:bookmarkEnd w:id="450"/>
      <w:bookmarkEnd w:id="451"/>
    </w:p>
    <w:p w14:paraId="1739FE7D" w14:textId="234D0C43" w:rsidR="00F52BD7" w:rsidRDefault="00F52BD7" w:rsidP="00F01ED6">
      <w:pPr>
        <w:pStyle w:val="ProductList-Body"/>
        <w:ind w:right="360"/>
        <w:rPr>
          <w:szCs w:val="18"/>
        </w:rPr>
      </w:pPr>
      <w:r>
        <w:rPr>
          <w:b/>
          <w:color w:val="00188F"/>
        </w:rPr>
        <w:t xml:space="preserve">Período de Indisponibilidade: </w:t>
      </w:r>
      <w:r>
        <w:rPr>
          <w:szCs w:val="18"/>
        </w:rPr>
        <w:t>Qualquer período durante o qual os utilizadores finais não conseguem iniciar sessão no respetivo ambiente. O</w:t>
      </w:r>
      <w:r w:rsidR="0074049A">
        <w:rPr>
          <w:szCs w:val="18"/>
        </w:rPr>
        <w:t> </w:t>
      </w:r>
      <w:r>
        <w:rPr>
          <w:szCs w:val="18"/>
        </w:rPr>
        <w:t>Período de Indisponibilidade não inclui a Indisponibilidade Agendada, a indisponibilidade das funcionalidades dos suplementos do Serviço ou a incapacidade de aceder ao Serviço devido a modificações efetuadas ao Serviço.</w:t>
      </w:r>
    </w:p>
    <w:p w14:paraId="319CDBE0" w14:textId="3035A621" w:rsidR="00F52BD7" w:rsidRPr="00044406" w:rsidRDefault="00AC48A7" w:rsidP="00F01ED6">
      <w:pPr>
        <w:pStyle w:val="ProductList-Body"/>
        <w:rPr>
          <w:szCs w:val="18"/>
        </w:rPr>
      </w:pPr>
      <w:r>
        <w:rPr>
          <w:b/>
          <w:color w:val="00188F"/>
        </w:rPr>
        <w:t>Percentagem de Período de Disponibilidade:</w:t>
      </w:r>
      <w:r>
        <w:rPr>
          <w:szCs w:val="18"/>
        </w:rPr>
        <w:t xml:space="preserve"> </w:t>
      </w:r>
      <w:r>
        <w:rPr>
          <w:rFonts w:ascii="Calibri" w:eastAsia="Times New Roman" w:hAnsi="Calibri" w:cs="Calibri"/>
        </w:rPr>
        <w:t>A Percentagem de Período de Disponibilidade é calculada através da seguinte fórmula:</w:t>
      </w:r>
    </w:p>
    <w:p w14:paraId="04D06B7C" w14:textId="722814A7" w:rsidR="00F52BD7" w:rsidRPr="00EF7CF9" w:rsidRDefault="00000000" w:rsidP="00AC7F34">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AB82D5E" w14:textId="643C0E25" w:rsidR="00F52BD7" w:rsidRDefault="00AC48A7" w:rsidP="00F01ED6">
      <w:pPr>
        <w:pStyle w:val="ProductList-Body"/>
        <w:ind w:right="126"/>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4AF909D" w14:textId="77777777" w:rsidR="000C15FB" w:rsidRDefault="000C15FB" w:rsidP="00F01ED6">
      <w:pPr>
        <w:pStyle w:val="ProductList-Body"/>
        <w:ind w:right="126"/>
        <w:rPr>
          <w:szCs w:val="18"/>
        </w:rPr>
      </w:pPr>
    </w:p>
    <w:p w14:paraId="2A07C68F" w14:textId="77777777" w:rsidR="00F52BD7" w:rsidRPr="00EF7CF9" w:rsidRDefault="00F52BD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1551BE2" w14:textId="77777777" w:rsidR="00F52BD7" w:rsidRPr="00EF7CF9" w:rsidRDefault="00F52BD7" w:rsidP="00F01ED6">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277097">
        <w:tc>
          <w:tcPr>
            <w:tcW w:w="5400" w:type="dxa"/>
          </w:tcPr>
          <w:p w14:paraId="68DC5061" w14:textId="77777777" w:rsidR="00F52BD7" w:rsidRPr="00EF7CF9" w:rsidRDefault="00F52BD7" w:rsidP="00F01ED6">
            <w:pPr>
              <w:pStyle w:val="ProductList-OfferingBody"/>
              <w:jc w:val="center"/>
            </w:pPr>
            <w:r>
              <w:t>&lt; 99,5%</w:t>
            </w:r>
          </w:p>
        </w:tc>
        <w:tc>
          <w:tcPr>
            <w:tcW w:w="5400" w:type="dxa"/>
          </w:tcPr>
          <w:p w14:paraId="670480DD" w14:textId="77777777" w:rsidR="00F52BD7" w:rsidRPr="00EF7CF9" w:rsidRDefault="00F52BD7" w:rsidP="00F01ED6">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F01ED6">
            <w:pPr>
              <w:pStyle w:val="ProductList-OfferingBody"/>
              <w:jc w:val="center"/>
            </w:pPr>
            <w:r>
              <w:t>&lt; 99%</w:t>
            </w:r>
          </w:p>
        </w:tc>
        <w:tc>
          <w:tcPr>
            <w:tcW w:w="5400" w:type="dxa"/>
          </w:tcPr>
          <w:p w14:paraId="7B80C04C" w14:textId="77777777" w:rsidR="00F52BD7" w:rsidRPr="00EF7CF9" w:rsidRDefault="00F52BD7" w:rsidP="00F01ED6">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F01ED6">
            <w:pPr>
              <w:pStyle w:val="ProductList-OfferingBody"/>
              <w:jc w:val="center"/>
            </w:pPr>
            <w:r>
              <w:t>&lt; 95%</w:t>
            </w:r>
          </w:p>
        </w:tc>
        <w:tc>
          <w:tcPr>
            <w:tcW w:w="5400" w:type="dxa"/>
          </w:tcPr>
          <w:p w14:paraId="0913817E" w14:textId="77777777" w:rsidR="00F52BD7" w:rsidRPr="00EF7CF9" w:rsidRDefault="00F52BD7" w:rsidP="00F01ED6">
            <w:pPr>
              <w:pStyle w:val="ProductList-OfferingBody"/>
              <w:keepNext/>
              <w:jc w:val="center"/>
            </w:pPr>
            <w:r>
              <w:t>100%</w:t>
            </w:r>
          </w:p>
        </w:tc>
      </w:tr>
    </w:tbl>
    <w:p w14:paraId="7F1F7C0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AA67818" w14:textId="64CFC424" w:rsidR="00494CDE" w:rsidRPr="00EF7CF9" w:rsidRDefault="00494CDE" w:rsidP="00DE1024">
      <w:pPr>
        <w:pStyle w:val="ProductList-Offering2Heading"/>
        <w:tabs>
          <w:tab w:val="clear" w:pos="360"/>
          <w:tab w:val="clear" w:pos="720"/>
          <w:tab w:val="clear" w:pos="1080"/>
        </w:tabs>
        <w:outlineLvl w:val="2"/>
      </w:pPr>
      <w:bookmarkStart w:id="452" w:name="_Toc214456904"/>
      <w:r>
        <w:t>Minecraft: Education Edition</w:t>
      </w:r>
      <w:bookmarkEnd w:id="452"/>
    </w:p>
    <w:p w14:paraId="0F5A210A" w14:textId="425DF245" w:rsidR="00494CDE" w:rsidRPr="00EF7CF9" w:rsidRDefault="00494CDE" w:rsidP="00F01ED6">
      <w:pPr>
        <w:pStyle w:val="ProductList-Body"/>
        <w:rPr>
          <w:szCs w:val="18"/>
        </w:rPr>
      </w:pPr>
      <w:r>
        <w:rPr>
          <w:b/>
          <w:color w:val="00188F"/>
        </w:rPr>
        <w:t>Período de Indisponibilidade</w:t>
      </w:r>
      <w:r w:rsidRPr="00473DD3">
        <w:rPr>
          <w:b/>
          <w:color w:val="00188F"/>
        </w:rPr>
        <w:t>:</w:t>
      </w:r>
      <w:r>
        <w:t xml:space="preserve"> </w:t>
      </w:r>
      <w:r>
        <w:rPr>
          <w:szCs w:val="18"/>
        </w:rPr>
        <w:t xml:space="preserve">Qualquer período de tempo em que os utilizadores não conseguem aceder ao Minecraft: Education Edition. </w:t>
      </w:r>
    </w:p>
    <w:p w14:paraId="407A2539" w14:textId="0500B4D8" w:rsidR="00494CD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7812754" w14:textId="1E729081" w:rsidR="00494CDE" w:rsidRPr="00EF7CF9" w:rsidRDefault="00000000" w:rsidP="00AC7F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00CE6E8D" w14:textId="69ACF4E7" w:rsidR="00494CDE" w:rsidRDefault="00AC48A7" w:rsidP="00F01ED6">
      <w:pPr>
        <w:pStyle w:val="ProductList-Body"/>
        <w:ind w:right="171"/>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7CFF766" w14:textId="77777777" w:rsidR="000C15FB" w:rsidRDefault="000C15FB" w:rsidP="00F01ED6">
      <w:pPr>
        <w:pStyle w:val="ProductList-Body"/>
        <w:ind w:right="171"/>
        <w:rPr>
          <w:szCs w:val="18"/>
        </w:rPr>
      </w:pPr>
    </w:p>
    <w:p w14:paraId="18285BB6" w14:textId="472020F1" w:rsidR="00494CDE" w:rsidRPr="00EF7CF9" w:rsidRDefault="00494CD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064E67C" w14:textId="77777777" w:rsidR="00494CDE" w:rsidRPr="00EF7CF9" w:rsidRDefault="00494CDE" w:rsidP="00F01ED6">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085CEE">
        <w:tc>
          <w:tcPr>
            <w:tcW w:w="5400" w:type="dxa"/>
          </w:tcPr>
          <w:p w14:paraId="104BCED5" w14:textId="77777777" w:rsidR="00494CDE" w:rsidRPr="00EF7CF9" w:rsidRDefault="00494CDE" w:rsidP="00F01ED6">
            <w:pPr>
              <w:pStyle w:val="ProductList-OfferingBody"/>
              <w:jc w:val="center"/>
            </w:pPr>
            <w:r>
              <w:t>&lt; 99,9%</w:t>
            </w:r>
          </w:p>
        </w:tc>
        <w:tc>
          <w:tcPr>
            <w:tcW w:w="5400" w:type="dxa"/>
          </w:tcPr>
          <w:p w14:paraId="474A68F1" w14:textId="77777777" w:rsidR="00494CDE" w:rsidRPr="00EF7CF9" w:rsidRDefault="00494CDE" w:rsidP="00F01ED6">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F01ED6">
            <w:pPr>
              <w:pStyle w:val="ProductList-OfferingBody"/>
              <w:jc w:val="center"/>
            </w:pPr>
            <w:r>
              <w:t>&lt; 99%</w:t>
            </w:r>
          </w:p>
        </w:tc>
        <w:tc>
          <w:tcPr>
            <w:tcW w:w="5400" w:type="dxa"/>
          </w:tcPr>
          <w:p w14:paraId="6E07CBA3" w14:textId="77777777" w:rsidR="00494CDE" w:rsidRPr="00EF7CF9" w:rsidRDefault="00494CDE" w:rsidP="00F01ED6">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F01ED6">
            <w:pPr>
              <w:pStyle w:val="ProductList-OfferingBody"/>
              <w:jc w:val="center"/>
            </w:pPr>
            <w:r>
              <w:t>&lt; 95%</w:t>
            </w:r>
          </w:p>
        </w:tc>
        <w:tc>
          <w:tcPr>
            <w:tcW w:w="5400" w:type="dxa"/>
          </w:tcPr>
          <w:p w14:paraId="68EE0912" w14:textId="77777777" w:rsidR="00494CDE" w:rsidRPr="00EF7CF9" w:rsidRDefault="00494CDE" w:rsidP="00F01ED6">
            <w:pPr>
              <w:pStyle w:val="ProductList-OfferingBody"/>
              <w:keepNext/>
              <w:jc w:val="center"/>
            </w:pPr>
            <w:r>
              <w:t>100%</w:t>
            </w:r>
          </w:p>
        </w:tc>
      </w:tr>
    </w:tbl>
    <w:bookmarkStart w:id="453" w:name="_Toc457821594"/>
    <w:p w14:paraId="23F8B97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83E8B2" w14:textId="1730A621" w:rsidR="00D46BBE" w:rsidRPr="00EF7CF9" w:rsidRDefault="00D46BBE" w:rsidP="00C609B4">
      <w:pPr>
        <w:pStyle w:val="ProductList-Offering2Heading"/>
        <w:keepNext/>
        <w:tabs>
          <w:tab w:val="clear" w:pos="360"/>
          <w:tab w:val="clear" w:pos="720"/>
          <w:tab w:val="clear" w:pos="1080"/>
        </w:tabs>
        <w:outlineLvl w:val="2"/>
      </w:pPr>
      <w:bookmarkStart w:id="454" w:name="_Toc214456905"/>
      <w:r>
        <w:t>Power BI Embedded</w:t>
      </w:r>
      <w:bookmarkEnd w:id="453"/>
      <w:bookmarkEnd w:id="454"/>
    </w:p>
    <w:p w14:paraId="6682B686" w14:textId="024AAC30" w:rsidR="00D46BBE" w:rsidRPr="00EF7CF9" w:rsidRDefault="00D46BBE" w:rsidP="0045292D">
      <w:pPr>
        <w:shd w:val="clear" w:color="auto" w:fill="FFFFFF"/>
        <w:spacing w:after="0" w:line="240" w:lineRule="auto"/>
        <w:rPr>
          <w:sz w:val="18"/>
          <w:szCs w:val="18"/>
        </w:rPr>
      </w:pPr>
      <w:r>
        <w:rPr>
          <w:b/>
          <w:color w:val="00188F"/>
          <w:sz w:val="18"/>
        </w:rPr>
        <w:t>Minutos de Implementação</w:t>
      </w:r>
      <w:r w:rsidRPr="00473DD3">
        <w:rPr>
          <w:b/>
          <w:color w:val="00188F"/>
          <w:sz w:val="18"/>
        </w:rPr>
        <w:t>:</w:t>
      </w:r>
      <w:r>
        <w:rPr>
          <w:sz w:val="18"/>
          <w:szCs w:val="18"/>
        </w:rPr>
        <w:t xml:space="preserve"> O número total de minutos para os quais uma determinada capacidade incorporada esteve ativa durante um Período</w:t>
      </w:r>
      <w:r w:rsidR="0074049A">
        <w:rPr>
          <w:sz w:val="18"/>
          <w:szCs w:val="18"/>
        </w:rPr>
        <w:t> </w:t>
      </w:r>
      <w:r>
        <w:rPr>
          <w:sz w:val="18"/>
          <w:szCs w:val="18"/>
        </w:rPr>
        <w:t>Aplicável.</w:t>
      </w:r>
    </w:p>
    <w:p w14:paraId="24389026" w14:textId="6D838F6A" w:rsidR="00D46BBE" w:rsidRPr="00EF7CF9" w:rsidRDefault="0080752B" w:rsidP="00F01ED6">
      <w:pPr>
        <w:pStyle w:val="ProductList-Body"/>
        <w:rPr>
          <w:szCs w:val="18"/>
        </w:rPr>
      </w:pPr>
      <w:r>
        <w:rPr>
          <w:b/>
          <w:color w:val="00188F"/>
        </w:rPr>
        <w:t>Máximo de Minutos Disponíveis</w:t>
      </w:r>
      <w:r w:rsidRPr="00473DD3">
        <w:rPr>
          <w:b/>
          <w:color w:val="00188F"/>
        </w:rPr>
        <w:t>:</w:t>
      </w:r>
      <w:r>
        <w:t xml:space="preserve"> </w:t>
      </w:r>
      <w:r>
        <w:rPr>
          <w:szCs w:val="18"/>
        </w:rPr>
        <w:t>A soma de todos os Minutos de Implementação para uma capacidade incorporada específica aprovisionada por</w:t>
      </w:r>
      <w:r w:rsidR="00C9074A">
        <w:rPr>
          <w:szCs w:val="18"/>
        </w:rPr>
        <w:t> </w:t>
      </w:r>
      <w:r>
        <w:rPr>
          <w:szCs w:val="18"/>
        </w:rPr>
        <w:t>um cliente numa determinada subscrição do Microsoft Azure durante um Período Aplicável.</w:t>
      </w:r>
    </w:p>
    <w:p w14:paraId="51C796EF" w14:textId="6D9F6BFB" w:rsidR="00D46BBE" w:rsidRPr="006F3CBD" w:rsidRDefault="00D46BBE" w:rsidP="00F01ED6">
      <w:pPr>
        <w:pStyle w:val="ProductList-Body"/>
      </w:pPr>
      <w:r>
        <w:rPr>
          <w:b/>
          <w:color w:val="00188F"/>
        </w:rPr>
        <w:t>Minutos de Período de Indisponibilidade</w:t>
      </w:r>
      <w:r w:rsidRPr="00473DD3">
        <w:rPr>
          <w:b/>
          <w:color w:val="00188F"/>
        </w:rPr>
        <w:t>:</w:t>
      </w:r>
      <w:r>
        <w:t xml:space="preserve"> </w:t>
      </w:r>
      <w:r>
        <w:rPr>
          <w:szCs w:val="18"/>
        </w:rPr>
        <w:t>O total acumulado de Minutos de Implementação durante os quais não é possível utilizar uma capacidade incorporada em todas as funcionalidades aplicáveis do Power BI listadas abaixo:</w:t>
      </w:r>
    </w:p>
    <w:p w14:paraId="3A0DFCD2" w14:textId="77777777" w:rsidR="005F6A67" w:rsidRPr="00562EF3" w:rsidRDefault="005F6A67" w:rsidP="00F01ED6">
      <w:pPr>
        <w:pStyle w:val="ProductList-Body"/>
        <w:ind w:left="187"/>
        <w:rPr>
          <w:szCs w:val="18"/>
        </w:rPr>
      </w:pPr>
      <w:r>
        <w:rPr>
          <w:b/>
          <w:color w:val="00188F"/>
          <w:szCs w:val="18"/>
        </w:rPr>
        <w:t>Ver:</w:t>
      </w:r>
      <w:r>
        <w:rPr>
          <w:szCs w:val="18"/>
        </w:rPr>
        <w:t xml:space="preserve"> ver Dashboards, Relatórios e Aplicações do Power BI no serviço.</w:t>
      </w:r>
    </w:p>
    <w:p w14:paraId="45A8D5E3" w14:textId="77777777" w:rsidR="005F6A67" w:rsidRPr="00562EF3" w:rsidRDefault="005F6A67" w:rsidP="00F01ED6">
      <w:pPr>
        <w:pStyle w:val="ProductList-Body"/>
        <w:ind w:left="187" w:right="450"/>
        <w:rPr>
          <w:szCs w:val="18"/>
        </w:rPr>
      </w:pPr>
      <w:r>
        <w:rPr>
          <w:b/>
          <w:color w:val="00188F"/>
          <w:szCs w:val="18"/>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792237E2" w14:textId="6B3F431E" w:rsidR="005F6A67" w:rsidRPr="00F86AAF" w:rsidRDefault="005F6A67" w:rsidP="00F01ED6">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acesso e utilização do Portal do Power BI dentro dos períodos esperados, tendo em consideração as condições e</w:t>
      </w:r>
      <w:r w:rsidR="0074049A">
        <w:rPr>
          <w:sz w:val="18"/>
          <w:szCs w:val="18"/>
        </w:rPr>
        <w:t> </w:t>
      </w:r>
      <w:r>
        <w:rPr>
          <w:sz w:val="18"/>
          <w:szCs w:val="18"/>
        </w:rPr>
        <w:t>as limitações da rede, locais do ambiente do cliente ou externas à Microsoft.</w:t>
      </w:r>
      <w:r>
        <w:rPr>
          <w:rFonts w:ascii="Times New Roman" w:hAnsi="Times New Roman" w:cs="Times New Roman"/>
          <w:sz w:val="18"/>
          <w:szCs w:val="18"/>
        </w:rPr>
        <w:t xml:space="preserve"> </w:t>
      </w:r>
    </w:p>
    <w:p w14:paraId="125C2715" w14:textId="495649C3" w:rsidR="00C609B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A481C1F" w14:textId="4573AC7D" w:rsidR="00D46BBE" w:rsidRPr="00FD6AB8" w:rsidRDefault="00000000" w:rsidP="00C609B4">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2B60FD" w14:textId="77777777" w:rsidR="00D46BBE" w:rsidRPr="00EF7CF9" w:rsidRDefault="00D46BBE" w:rsidP="00F01ED6">
      <w:pPr>
        <w:pStyle w:val="ProductList-Body"/>
      </w:pPr>
      <w:r>
        <w:rPr>
          <w:b/>
          <w:color w:val="00188F"/>
        </w:rPr>
        <w:lastRenderedPageBreak/>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55701A" w14:textId="77777777" w:rsidR="00D46BBE" w:rsidRPr="00EF7CF9" w:rsidRDefault="00D46BBE" w:rsidP="00F01ED6">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BC681F">
        <w:tc>
          <w:tcPr>
            <w:tcW w:w="5400" w:type="dxa"/>
          </w:tcPr>
          <w:p w14:paraId="70825BB6" w14:textId="77777777" w:rsidR="00D46BBE" w:rsidRPr="00EF7CF9" w:rsidRDefault="00D46BBE" w:rsidP="00F01ED6">
            <w:pPr>
              <w:pStyle w:val="ProductList-OfferingBody"/>
              <w:jc w:val="center"/>
            </w:pPr>
            <w:r>
              <w:t>&lt; 99,9%</w:t>
            </w:r>
          </w:p>
        </w:tc>
        <w:tc>
          <w:tcPr>
            <w:tcW w:w="5400" w:type="dxa"/>
          </w:tcPr>
          <w:p w14:paraId="54054EA6" w14:textId="77777777" w:rsidR="00D46BBE" w:rsidRPr="00EF7CF9" w:rsidRDefault="00D46BBE" w:rsidP="00F01ED6">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F01ED6">
            <w:pPr>
              <w:pStyle w:val="ProductList-OfferingBody"/>
              <w:jc w:val="center"/>
            </w:pPr>
            <w:r>
              <w:t>&lt; 99%</w:t>
            </w:r>
          </w:p>
        </w:tc>
        <w:tc>
          <w:tcPr>
            <w:tcW w:w="5400" w:type="dxa"/>
          </w:tcPr>
          <w:p w14:paraId="068AE7F1" w14:textId="77777777" w:rsidR="00D46BBE" w:rsidRPr="00EF7CF9" w:rsidRDefault="00D46BBE" w:rsidP="00F01ED6">
            <w:pPr>
              <w:pStyle w:val="ProductList-OfferingBody"/>
              <w:jc w:val="center"/>
            </w:pPr>
            <w:r>
              <w:t>25%</w:t>
            </w:r>
          </w:p>
        </w:tc>
      </w:tr>
    </w:tbl>
    <w:bookmarkStart w:id="455" w:name="_Toc457821595"/>
    <w:p w14:paraId="1A9F8CB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2D524F" w14:textId="70462449" w:rsidR="002D6A90" w:rsidRPr="00EF7CF9" w:rsidRDefault="002D6A90" w:rsidP="00AA43CF">
      <w:pPr>
        <w:pStyle w:val="ProductList-Offering2Heading"/>
        <w:keepNext/>
        <w:tabs>
          <w:tab w:val="clear" w:pos="360"/>
          <w:tab w:val="clear" w:pos="720"/>
          <w:tab w:val="clear" w:pos="1080"/>
        </w:tabs>
        <w:outlineLvl w:val="2"/>
      </w:pPr>
      <w:bookmarkStart w:id="456" w:name="_Toc214456906"/>
      <w:r>
        <w:t>Power BI Premium</w:t>
      </w:r>
      <w:bookmarkEnd w:id="456"/>
    </w:p>
    <w:p w14:paraId="4D4399A1" w14:textId="0EAEC01E" w:rsidR="002D6A90" w:rsidRPr="00EF7CF9" w:rsidRDefault="002D6A90" w:rsidP="00F01ED6">
      <w:pPr>
        <w:pStyle w:val="ProductList-Body"/>
      </w:pPr>
      <w:r>
        <w:rPr>
          <w:b/>
          <w:color w:val="00188F"/>
        </w:rPr>
        <w:t>Capacidade:</w:t>
      </w:r>
      <w:r>
        <w:t xml:space="preserve"> designa uma capacidade nomeada aprovisionada por um administrador através do portal de administração da capacidade do Power BI</w:t>
      </w:r>
      <w:r w:rsidR="003A33AB">
        <w:t> </w:t>
      </w:r>
      <w:r>
        <w:t>Premium. Uma Capacidade é um agrupamento de um ou mais nós.</w:t>
      </w:r>
    </w:p>
    <w:p w14:paraId="13BA1B34" w14:textId="017CFF79" w:rsidR="002D6A90" w:rsidRPr="00EF7CF9" w:rsidRDefault="002D6A90" w:rsidP="00F01ED6">
      <w:pPr>
        <w:pStyle w:val="ProductList-Body"/>
      </w:pPr>
      <w:r>
        <w:rPr>
          <w:b/>
          <w:color w:val="00188F"/>
        </w:rPr>
        <w:t>Máximo de Minutos Disponíveis:</w:t>
      </w:r>
      <w:r>
        <w:t xml:space="preserve"> a soma de todos os minutos durante os quais determinada Capacidade foi atribuída a uma instância durante um</w:t>
      </w:r>
      <w:r w:rsidR="00561387">
        <w:t> </w:t>
      </w:r>
      <w:r>
        <w:t>Período Aplicável para um determinado inquilino.</w:t>
      </w:r>
    </w:p>
    <w:p w14:paraId="3EBB5A05" w14:textId="4A021365" w:rsidR="002D6A90" w:rsidRPr="00EF7CF9" w:rsidRDefault="002D6A90" w:rsidP="00F01ED6">
      <w:pPr>
        <w:pStyle w:val="ProductList-Body"/>
      </w:pPr>
      <w:r>
        <w:rPr>
          <w:b/>
          <w:color w:val="00188F"/>
        </w:rPr>
        <w:t>Minutos de Período de Indisponibilidade</w:t>
      </w:r>
      <w:r w:rsidRPr="00473DD3">
        <w:rPr>
          <w:b/>
          <w:color w:val="00188F"/>
        </w:rPr>
        <w:t>:</w:t>
      </w:r>
      <w:r>
        <w:t xml:space="preserve"> </w:t>
      </w:r>
      <w:r>
        <w:rPr>
          <w:szCs w:val="18"/>
        </w:rPr>
        <w:t>o total de minutos acumulados num Período Aplicável para uma determinada Capacidade, após a respetiva criação, ou antes de ser desaprovisionada, durante os quais não é possível utilizar a Capacidade em todas as funcionalidades aplicáveis do</w:t>
      </w:r>
      <w:r w:rsidR="00992E15">
        <w:rPr>
          <w:szCs w:val="18"/>
        </w:rPr>
        <w:t> </w:t>
      </w:r>
      <w:r>
        <w:rPr>
          <w:szCs w:val="18"/>
        </w:rPr>
        <w:t>Power BI listadas abaixo:</w:t>
      </w:r>
    </w:p>
    <w:p w14:paraId="3BFB5669" w14:textId="77777777" w:rsidR="00CA5CE3" w:rsidRDefault="00CA5CE3" w:rsidP="00F01ED6">
      <w:pPr>
        <w:pStyle w:val="ProductList-Body"/>
        <w:ind w:left="187"/>
        <w:rPr>
          <w:szCs w:val="18"/>
        </w:rPr>
      </w:pPr>
      <w:r>
        <w:rPr>
          <w:b/>
          <w:color w:val="00188F"/>
        </w:rPr>
        <w:t>Ver:</w:t>
      </w:r>
      <w:r>
        <w:rPr>
          <w:szCs w:val="18"/>
        </w:rPr>
        <w:t xml:space="preserve"> ver Dashboards, Relatórios e Aplicações do Power BI no serviço.</w:t>
      </w:r>
    </w:p>
    <w:p w14:paraId="342ED7E2" w14:textId="7772677E" w:rsidR="00CA5CE3" w:rsidRDefault="00CA5CE3"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DC1476">
        <w:rPr>
          <w:szCs w:val="18"/>
        </w:rPr>
        <w:t> </w:t>
      </w:r>
      <w:r>
        <w:rPr>
          <w:szCs w:val="18"/>
        </w:rPr>
        <w:t>exemplo, o tamanho do conjunto de dados).</w:t>
      </w:r>
    </w:p>
    <w:p w14:paraId="5C6B8C0C" w14:textId="50AFB700" w:rsidR="00CA5CE3" w:rsidRPr="00F86AAF" w:rsidRDefault="00CA5CE3"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DC1476">
        <w:rPr>
          <w:szCs w:val="18"/>
        </w:rPr>
        <w:t> </w:t>
      </w:r>
      <w:r>
        <w:rPr>
          <w:szCs w:val="18"/>
        </w:rPr>
        <w:t>as limitações da rede, locais do ambiente do cliente ou externas à Microsoft.</w:t>
      </w:r>
    </w:p>
    <w:p w14:paraId="2C1620AE" w14:textId="243C66A8" w:rsidR="002D6A90"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7F0784B" w14:textId="321FFB7D" w:rsidR="002D6A90" w:rsidRPr="009E2B16" w:rsidRDefault="00000000" w:rsidP="008441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8365CB1" w14:textId="77777777" w:rsidR="002D6A90" w:rsidRPr="00EF7CF9" w:rsidRDefault="002D6A90"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D3B0F5" w14:textId="77777777" w:rsidR="002D6A90" w:rsidRPr="00EF7CF9" w:rsidRDefault="002D6A90" w:rsidP="00F01ED6">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EE6CC5">
        <w:tc>
          <w:tcPr>
            <w:tcW w:w="5400" w:type="dxa"/>
          </w:tcPr>
          <w:p w14:paraId="7FBF86A4" w14:textId="77777777" w:rsidR="002D6A90" w:rsidRPr="00EF7CF9" w:rsidRDefault="002D6A90" w:rsidP="00F01ED6">
            <w:pPr>
              <w:pStyle w:val="ProductList-OfferingBody"/>
              <w:jc w:val="center"/>
            </w:pPr>
            <w:r>
              <w:t>&lt; 99,9%</w:t>
            </w:r>
          </w:p>
        </w:tc>
        <w:tc>
          <w:tcPr>
            <w:tcW w:w="5400" w:type="dxa"/>
          </w:tcPr>
          <w:p w14:paraId="719D357D" w14:textId="1400E17F" w:rsidR="002D6A90" w:rsidRPr="00EF7CF9" w:rsidRDefault="002D6A90" w:rsidP="00F01ED6">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F01ED6">
            <w:pPr>
              <w:pStyle w:val="ProductList-OfferingBody"/>
              <w:jc w:val="center"/>
            </w:pPr>
            <w:r>
              <w:t>&lt; 99%</w:t>
            </w:r>
          </w:p>
        </w:tc>
        <w:tc>
          <w:tcPr>
            <w:tcW w:w="5400" w:type="dxa"/>
          </w:tcPr>
          <w:p w14:paraId="52E1AD03" w14:textId="14F3C7FF" w:rsidR="002D6A90" w:rsidRPr="00EF7CF9" w:rsidRDefault="002D6A90" w:rsidP="00F01ED6">
            <w:pPr>
              <w:pStyle w:val="ProductList-OfferingBody"/>
              <w:jc w:val="center"/>
            </w:pPr>
            <w:r>
              <w:t>25%</w:t>
            </w:r>
          </w:p>
        </w:tc>
      </w:tr>
    </w:tbl>
    <w:p w14:paraId="337AEE1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B30F133" w14:textId="0FA0019F" w:rsidR="00515EF4" w:rsidRPr="00EF7CF9" w:rsidRDefault="00515EF4" w:rsidP="005D6E75">
      <w:pPr>
        <w:pStyle w:val="ProductList-Offering2Heading"/>
        <w:tabs>
          <w:tab w:val="clear" w:pos="360"/>
          <w:tab w:val="clear" w:pos="720"/>
          <w:tab w:val="clear" w:pos="1080"/>
        </w:tabs>
        <w:outlineLvl w:val="2"/>
      </w:pPr>
      <w:bookmarkStart w:id="457" w:name="_Toc214456907"/>
      <w:r>
        <w:t>Power BI Pro</w:t>
      </w:r>
      <w:bookmarkEnd w:id="440"/>
      <w:bookmarkEnd w:id="455"/>
      <w:bookmarkEnd w:id="457"/>
    </w:p>
    <w:p w14:paraId="2632FEBC" w14:textId="4613EEF9" w:rsidR="00595E65" w:rsidRDefault="00515EF4" w:rsidP="00F01ED6">
      <w:pPr>
        <w:pStyle w:val="ProductList-Body"/>
        <w:rPr>
          <w:szCs w:val="18"/>
        </w:rPr>
      </w:pPr>
      <w:r>
        <w:rPr>
          <w:b/>
          <w:color w:val="00188F"/>
        </w:rPr>
        <w:t>Minutos de Período de Indisponibilidade</w:t>
      </w:r>
      <w:r w:rsidRPr="00473DD3">
        <w:rPr>
          <w:b/>
          <w:color w:val="00188F"/>
        </w:rPr>
        <w:t>:</w:t>
      </w:r>
      <w:r>
        <w:t xml:space="preserve"> </w:t>
      </w:r>
      <w:r>
        <w:rPr>
          <w:szCs w:val="18"/>
        </w:rPr>
        <w:t>o total de minutos acumulados num Período Aplicável durante os quais todas as funcionalidades do Power BI listadas abaixo estão indisponíveis:</w:t>
      </w:r>
    </w:p>
    <w:p w14:paraId="0D632B65" w14:textId="77777777" w:rsidR="00595E65" w:rsidRDefault="00595E65" w:rsidP="00F01ED6">
      <w:pPr>
        <w:pStyle w:val="ProductList-Body"/>
        <w:ind w:left="187"/>
        <w:rPr>
          <w:szCs w:val="18"/>
        </w:rPr>
      </w:pPr>
      <w:r>
        <w:rPr>
          <w:b/>
          <w:color w:val="00188F"/>
        </w:rPr>
        <w:t>Ver:</w:t>
      </w:r>
      <w:r>
        <w:rPr>
          <w:szCs w:val="18"/>
        </w:rPr>
        <w:t xml:space="preserve"> ver Dashboards, Relatórios e Aplicações do Power BI no serviço.</w:t>
      </w:r>
    </w:p>
    <w:p w14:paraId="308484E7" w14:textId="69D95605" w:rsidR="00595E65" w:rsidRDefault="00595E65"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9964D4">
        <w:rPr>
          <w:szCs w:val="18"/>
        </w:rPr>
        <w:t> </w:t>
      </w:r>
      <w:r>
        <w:rPr>
          <w:szCs w:val="18"/>
        </w:rPr>
        <w:t>exemplo, o tamanho do conjunto de dados).</w:t>
      </w:r>
    </w:p>
    <w:p w14:paraId="66EB6922" w14:textId="337B19D1" w:rsidR="00595E65" w:rsidRDefault="00595E65"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9964D4">
        <w:rPr>
          <w:szCs w:val="18"/>
        </w:rPr>
        <w:t> </w:t>
      </w:r>
      <w:r>
        <w:rPr>
          <w:szCs w:val="18"/>
        </w:rPr>
        <w:t>as limitações da rede, locais do ambiente do cliente ou externas à Microsoft.</w:t>
      </w:r>
    </w:p>
    <w:p w14:paraId="49ECCD62" w14:textId="3CA45863" w:rsidR="00515EF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A7E48F2" w14:textId="36A489C9" w:rsidR="00515EF4" w:rsidRPr="009E2B16" w:rsidRDefault="00000000" w:rsidP="008441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Minutos de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2865395D" w14:textId="1DC7BFA3"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A9844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515EF4">
        <w:tc>
          <w:tcPr>
            <w:tcW w:w="5400" w:type="dxa"/>
          </w:tcPr>
          <w:p w14:paraId="7709E7BA" w14:textId="21217632" w:rsidR="00515EF4" w:rsidRPr="00EF7CF9" w:rsidRDefault="00515EF4" w:rsidP="00F01ED6">
            <w:pPr>
              <w:pStyle w:val="ProductList-OfferingBody"/>
              <w:jc w:val="center"/>
            </w:pPr>
            <w:r>
              <w:t>&lt; 99,9%</w:t>
            </w:r>
          </w:p>
        </w:tc>
        <w:tc>
          <w:tcPr>
            <w:tcW w:w="5400" w:type="dxa"/>
          </w:tcPr>
          <w:p w14:paraId="520BC18E" w14:textId="77777777" w:rsidR="00515EF4" w:rsidRPr="00EF7CF9" w:rsidRDefault="00515EF4" w:rsidP="00F01ED6">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F01ED6">
            <w:pPr>
              <w:pStyle w:val="ProductList-OfferingBody"/>
              <w:jc w:val="center"/>
            </w:pPr>
            <w:r>
              <w:t>&lt; 99%</w:t>
            </w:r>
          </w:p>
        </w:tc>
        <w:tc>
          <w:tcPr>
            <w:tcW w:w="5400" w:type="dxa"/>
          </w:tcPr>
          <w:p w14:paraId="7A5A5886" w14:textId="77777777" w:rsidR="00515EF4" w:rsidRPr="00EF7CF9" w:rsidRDefault="00515EF4" w:rsidP="00F01ED6">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F01ED6">
            <w:pPr>
              <w:pStyle w:val="ProductList-OfferingBody"/>
              <w:jc w:val="center"/>
            </w:pPr>
            <w:r>
              <w:t>&lt; 95%</w:t>
            </w:r>
          </w:p>
        </w:tc>
        <w:tc>
          <w:tcPr>
            <w:tcW w:w="5400" w:type="dxa"/>
          </w:tcPr>
          <w:p w14:paraId="41A062A9" w14:textId="77777777" w:rsidR="00515EF4" w:rsidRPr="00EF7CF9" w:rsidRDefault="00515EF4" w:rsidP="00F01ED6">
            <w:pPr>
              <w:pStyle w:val="ProductList-OfferingBody"/>
              <w:jc w:val="center"/>
            </w:pPr>
            <w:r>
              <w:t>100%</w:t>
            </w:r>
          </w:p>
        </w:tc>
      </w:tr>
    </w:tbl>
    <w:bookmarkStart w:id="458" w:name="_Toc457821596"/>
    <w:p w14:paraId="0F2C886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6A7D213" w14:textId="77777777" w:rsidR="00653932" w:rsidRDefault="00653932">
      <w:pPr>
        <w:rPr>
          <w:rFonts w:asciiTheme="majorHAnsi" w:hAnsiTheme="majorHAnsi"/>
          <w:b/>
          <w:color w:val="0072C6"/>
          <w:sz w:val="28"/>
        </w:rPr>
      </w:pPr>
      <w:r>
        <w:br w:type="page"/>
      </w:r>
    </w:p>
    <w:p w14:paraId="33137B2B" w14:textId="13B3E012" w:rsidR="00515EF4" w:rsidRPr="00EF7CF9" w:rsidRDefault="00A264B6" w:rsidP="00F01ED6">
      <w:pPr>
        <w:pStyle w:val="ProductList-Offering2Heading"/>
        <w:tabs>
          <w:tab w:val="clear" w:pos="360"/>
          <w:tab w:val="clear" w:pos="720"/>
          <w:tab w:val="clear" w:pos="1080"/>
        </w:tabs>
        <w:outlineLvl w:val="2"/>
      </w:pPr>
      <w:bookmarkStart w:id="459" w:name="_Toc214456908"/>
      <w:r>
        <w:lastRenderedPageBreak/>
        <w:t xml:space="preserve">Azure </w:t>
      </w:r>
      <w:r w:rsidR="00515EF4">
        <w:t>AI Translator</w:t>
      </w:r>
      <w:bookmarkEnd w:id="458"/>
      <w:bookmarkEnd w:id="459"/>
    </w:p>
    <w:p w14:paraId="0D68E64F" w14:textId="1CB465B2" w:rsidR="00515EF4" w:rsidRPr="00EF7CF9" w:rsidRDefault="00515EF4" w:rsidP="00F01ED6">
      <w:pPr>
        <w:pStyle w:val="ProductList-Body"/>
      </w:pPr>
      <w:r>
        <w:rPr>
          <w:b/>
          <w:color w:val="00188F"/>
        </w:rPr>
        <w:t>Período de Indisponibilidade</w:t>
      </w:r>
      <w:r w:rsidRPr="00473DD3">
        <w:rPr>
          <w:b/>
          <w:color w:val="00188F"/>
        </w:rPr>
        <w:t>:</w:t>
      </w:r>
      <w:r>
        <w:t xml:space="preserve"> </w:t>
      </w:r>
      <w:r>
        <w:rPr>
          <w:szCs w:val="18"/>
        </w:rPr>
        <w:t>Qualquer período de tempo em que os utilizadores não conseguem efetuar traduções.</w:t>
      </w:r>
    </w:p>
    <w:p w14:paraId="2A370CEF" w14:textId="5340E59C" w:rsidR="00515EF4"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28BF4C5" w14:textId="1B7FBE02" w:rsidR="00515EF4" w:rsidRPr="009E2B16" w:rsidRDefault="00000000" w:rsidP="0084418C">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7E3A2E69" w14:textId="65F88F81" w:rsidR="00515EF4" w:rsidRDefault="00D46DC5" w:rsidP="00F01ED6">
      <w:pPr>
        <w:pStyle w:val="ProductList-Body"/>
        <w:rPr>
          <w:szCs w:val="18"/>
        </w:rPr>
      </w:pPr>
      <w:r>
        <w:rPr>
          <w:szCs w:val="18"/>
        </w:rPr>
        <w:t>em que o Período de Indisponibilidade é medido como o número total de minutos durante o Período Aplicável quando os aspetos do Servidor estabelecidos acima estão indisponíveis.</w:t>
      </w:r>
    </w:p>
    <w:p w14:paraId="148F07C0" w14:textId="77777777" w:rsidR="000C15FB" w:rsidRPr="00EF7CF9" w:rsidRDefault="000C15FB" w:rsidP="00F01ED6">
      <w:pPr>
        <w:pStyle w:val="ProductList-Body"/>
      </w:pPr>
    </w:p>
    <w:p w14:paraId="1A614EB8" w14:textId="299A272D" w:rsidR="00515EF4" w:rsidRPr="00EF7CF9" w:rsidRDefault="00515EF4" w:rsidP="00D6770D">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458E81"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515EF4">
        <w:tc>
          <w:tcPr>
            <w:tcW w:w="5400" w:type="dxa"/>
          </w:tcPr>
          <w:p w14:paraId="0ED7D057" w14:textId="400D8B77" w:rsidR="00515EF4" w:rsidRPr="00EF7CF9" w:rsidRDefault="00515EF4" w:rsidP="00F01ED6">
            <w:pPr>
              <w:pStyle w:val="ProductList-OfferingBody"/>
              <w:jc w:val="center"/>
            </w:pPr>
            <w:r>
              <w:t>&lt; 99,9%</w:t>
            </w:r>
          </w:p>
        </w:tc>
        <w:tc>
          <w:tcPr>
            <w:tcW w:w="5400" w:type="dxa"/>
          </w:tcPr>
          <w:p w14:paraId="086049F0" w14:textId="77777777" w:rsidR="00515EF4" w:rsidRPr="00EF7CF9" w:rsidRDefault="00515EF4" w:rsidP="00F01ED6">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F01ED6">
            <w:pPr>
              <w:pStyle w:val="ProductList-OfferingBody"/>
              <w:jc w:val="center"/>
            </w:pPr>
            <w:r>
              <w:t>&lt; 99%</w:t>
            </w:r>
          </w:p>
        </w:tc>
        <w:tc>
          <w:tcPr>
            <w:tcW w:w="5400" w:type="dxa"/>
          </w:tcPr>
          <w:p w14:paraId="3610FC92" w14:textId="77777777" w:rsidR="00515EF4" w:rsidRPr="00EF7CF9" w:rsidRDefault="00515EF4" w:rsidP="00F01ED6">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F01ED6">
            <w:pPr>
              <w:pStyle w:val="ProductList-OfferingBody"/>
              <w:jc w:val="center"/>
            </w:pPr>
            <w:r>
              <w:t>&lt; 95%</w:t>
            </w:r>
          </w:p>
        </w:tc>
        <w:tc>
          <w:tcPr>
            <w:tcW w:w="5400" w:type="dxa"/>
          </w:tcPr>
          <w:p w14:paraId="55A96903" w14:textId="77777777" w:rsidR="00515EF4" w:rsidRPr="00EF7CF9" w:rsidRDefault="00515EF4" w:rsidP="00F01ED6">
            <w:pPr>
              <w:pStyle w:val="ProductList-OfferingBody"/>
              <w:jc w:val="center"/>
            </w:pPr>
            <w:r>
              <w:t>100%</w:t>
            </w:r>
          </w:p>
        </w:tc>
      </w:tr>
    </w:tbl>
    <w:bookmarkStart w:id="460" w:name="MDATP"/>
    <w:bookmarkStart w:id="461" w:name="_Toc13833097"/>
    <w:bookmarkStart w:id="462" w:name="_Toc55920329"/>
    <w:p w14:paraId="10891EA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BD66AE" w14:textId="289CA7B0" w:rsidR="00657A3A" w:rsidRPr="00EF7CF9" w:rsidRDefault="00657A3A" w:rsidP="00BC65E9">
      <w:pPr>
        <w:pStyle w:val="ProductList-Offering2Heading"/>
        <w:tabs>
          <w:tab w:val="clear" w:pos="360"/>
          <w:tab w:val="clear" w:pos="720"/>
          <w:tab w:val="clear" w:pos="1080"/>
        </w:tabs>
        <w:outlineLvl w:val="2"/>
      </w:pPr>
      <w:bookmarkStart w:id="463" w:name="_Toc214456909"/>
      <w:r>
        <w:t xml:space="preserve">Microsoft Defender </w:t>
      </w:r>
      <w:bookmarkEnd w:id="460"/>
      <w:bookmarkEnd w:id="461"/>
      <w:r>
        <w:t>para Endpoint</w:t>
      </w:r>
      <w:bookmarkEnd w:id="462"/>
      <w:bookmarkEnd w:id="463"/>
    </w:p>
    <w:p w14:paraId="25190B3D" w14:textId="77777777" w:rsidR="00657A3A" w:rsidRPr="00EF7CF9" w:rsidRDefault="00657A3A" w:rsidP="00F01ED6">
      <w:pPr>
        <w:pStyle w:val="ProductList-Body"/>
        <w:rPr>
          <w:b/>
          <w:color w:val="00188F"/>
        </w:rPr>
      </w:pPr>
      <w:r>
        <w:rPr>
          <w:b/>
          <w:color w:val="00188F"/>
        </w:rPr>
        <w:t>Definições Adicionais</w:t>
      </w:r>
      <w:r w:rsidRPr="00473DD3">
        <w:rPr>
          <w:b/>
          <w:color w:val="00188F"/>
        </w:rPr>
        <w:t>:</w:t>
      </w:r>
    </w:p>
    <w:p w14:paraId="4CD0D776" w14:textId="1A634F45" w:rsidR="00657A3A" w:rsidRPr="00EF7CF9" w:rsidRDefault="00380305" w:rsidP="0084418C">
      <w:pPr>
        <w:pStyle w:val="ProductList-Body"/>
      </w:pPr>
      <w:r>
        <w:t>“</w:t>
      </w:r>
      <w:r w:rsidR="00657A3A">
        <w:rPr>
          <w:b/>
          <w:color w:val="00188F"/>
        </w:rPr>
        <w:t>Máximo de Minutos Disponíveis</w:t>
      </w:r>
      <w:r>
        <w:t>”</w:t>
      </w:r>
      <w:r w:rsidR="00657A3A">
        <w:t xml:space="preserve"> designa o total de minutos acumulados durante um Período Aplicável para o portal do Microsoft Defender para Endpoint. O Máximo de Minutos Disponíveis é medido a partir do momento em que o Inquilino foi criado em resultado da conclusão com êxito do processo de integração.</w:t>
      </w:r>
    </w:p>
    <w:p w14:paraId="02E69B78" w14:textId="26E451E6" w:rsidR="00657A3A" w:rsidRPr="00EF7CF9" w:rsidRDefault="00380305" w:rsidP="0084418C">
      <w:pPr>
        <w:pStyle w:val="ProductList-Body"/>
      </w:pPr>
      <w:r>
        <w:t>“</w:t>
      </w:r>
      <w:r w:rsidR="00657A3A">
        <w:rPr>
          <w:b/>
          <w:color w:val="00188F"/>
        </w:rPr>
        <w:t>Inquilino</w:t>
      </w:r>
      <w:r>
        <w:t>”</w:t>
      </w:r>
      <w:r w:rsidR="00657A3A">
        <w:t xml:space="preserve"> representa o ambiente na nuvem específico do cliente do Microsoft Defender para Endpoint.</w:t>
      </w:r>
    </w:p>
    <w:p w14:paraId="7AA0C3CA" w14:textId="2E913705" w:rsidR="00021F08" w:rsidRPr="00EF7CF9" w:rsidRDefault="00657A3A" w:rsidP="0084418C">
      <w:pPr>
        <w:pStyle w:val="ProductList-Body"/>
      </w:pPr>
      <w:r>
        <w:rPr>
          <w:b/>
          <w:color w:val="00188F"/>
        </w:rPr>
        <w:t>Período de Indisponibilidade</w:t>
      </w:r>
      <w:r w:rsidRPr="00473DD3">
        <w:rPr>
          <w:b/>
          <w:color w:val="00188F"/>
        </w:rPr>
        <w:t>:</w:t>
      </w:r>
      <w:r>
        <w:t xml:space="preserve"> </w:t>
      </w:r>
      <w:r>
        <w:rPr>
          <w:szCs w:val="18"/>
        </w:rPr>
        <w:t>O total de minutos acumulados que fazem parte do Máximo de Minutos Disponíveis em que o Cliente não consegue aceder a nenhuma parte das coleções de sites do portal do Microsoft Defender para Ponto Final para as quais tem as permissões adequadas e o cliente tem uma licença válida ativa</w:t>
      </w:r>
      <w:r>
        <w:t>.</w:t>
      </w:r>
    </w:p>
    <w:p w14:paraId="4ABEE834" w14:textId="53DE7AC5" w:rsidR="00BC681F" w:rsidRPr="00EF7CF9" w:rsidRDefault="00AC48A7" w:rsidP="0084418C">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B661105" w14:textId="20C1014B" w:rsidR="00BC681F" w:rsidRPr="00EF7CF9" w:rsidRDefault="00000000" w:rsidP="008441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5A7C083" w14:textId="65E73718" w:rsidR="00BC681F" w:rsidRDefault="00AC48A7" w:rsidP="00F01ED6">
      <w:pPr>
        <w:pStyle w:val="ProductList-Body"/>
        <w:ind w:right="162"/>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B18D38D" w14:textId="77777777" w:rsidR="000C15FB" w:rsidRPr="00EF7CF9" w:rsidRDefault="000C15FB" w:rsidP="00F01ED6">
      <w:pPr>
        <w:pStyle w:val="ProductList-Body"/>
        <w:ind w:right="162"/>
        <w:rPr>
          <w:szCs w:val="18"/>
        </w:rPr>
      </w:pPr>
    </w:p>
    <w:p w14:paraId="2103A3BF" w14:textId="06BC9684" w:rsidR="00BC681F" w:rsidRPr="00EF7CF9" w:rsidRDefault="00BC681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B61998" w14:textId="77777777" w:rsidR="00BC681F" w:rsidRPr="00EF7CF9" w:rsidRDefault="00BC681F" w:rsidP="00F01ED6">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BC681F">
        <w:tc>
          <w:tcPr>
            <w:tcW w:w="5400" w:type="dxa"/>
          </w:tcPr>
          <w:p w14:paraId="034061FE" w14:textId="77777777" w:rsidR="00BC681F" w:rsidRPr="00EF7CF9" w:rsidRDefault="00BC681F" w:rsidP="00F01ED6">
            <w:pPr>
              <w:pStyle w:val="ProductList-OfferingBody"/>
              <w:jc w:val="center"/>
            </w:pPr>
            <w:r>
              <w:t>&lt; 99,9%</w:t>
            </w:r>
          </w:p>
        </w:tc>
        <w:tc>
          <w:tcPr>
            <w:tcW w:w="5400" w:type="dxa"/>
          </w:tcPr>
          <w:p w14:paraId="57FBED7E" w14:textId="77777777" w:rsidR="00BC681F" w:rsidRPr="00EF7CF9" w:rsidRDefault="00BC681F" w:rsidP="00F01ED6">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F01ED6">
            <w:pPr>
              <w:pStyle w:val="ProductList-OfferingBody"/>
              <w:jc w:val="center"/>
            </w:pPr>
            <w:r>
              <w:t>&lt; 99%</w:t>
            </w:r>
          </w:p>
        </w:tc>
        <w:tc>
          <w:tcPr>
            <w:tcW w:w="5400" w:type="dxa"/>
          </w:tcPr>
          <w:p w14:paraId="40C5339D" w14:textId="77777777" w:rsidR="00BC681F" w:rsidRPr="00EF7CF9" w:rsidRDefault="00BC681F" w:rsidP="00F01ED6">
            <w:pPr>
              <w:pStyle w:val="ProductList-OfferingBody"/>
              <w:keepNext/>
              <w:jc w:val="center"/>
            </w:pPr>
            <w:r>
              <w:t>25%</w:t>
            </w:r>
          </w:p>
        </w:tc>
      </w:tr>
    </w:tbl>
    <w:p w14:paraId="58D713F0" w14:textId="77777777" w:rsidR="00BC681F" w:rsidRPr="00160676" w:rsidRDefault="00BC681F" w:rsidP="00F01ED6">
      <w:pPr>
        <w:pStyle w:val="ProductList-Body"/>
        <w:rPr>
          <w:sz w:val="12"/>
          <w:szCs w:val="12"/>
        </w:rPr>
      </w:pPr>
    </w:p>
    <w:p w14:paraId="4E24C9C9" w14:textId="0B9F0537" w:rsidR="00BC681F" w:rsidRPr="00EF7CF9" w:rsidRDefault="00BC681F" w:rsidP="00F01ED6">
      <w:pPr>
        <w:pStyle w:val="ProductList-Body"/>
      </w:pPr>
      <w:r>
        <w:rPr>
          <w:b/>
          <w:color w:val="00188F"/>
        </w:rPr>
        <w:t>Exceções de Nível de Serviço</w:t>
      </w:r>
      <w:r w:rsidRPr="00473DD3">
        <w:rPr>
          <w:b/>
          <w:color w:val="00188F"/>
        </w:rPr>
        <w:t>:</w:t>
      </w:r>
      <w:r>
        <w:t xml:space="preserve"> Este SLA não é aplicável a nenhum Inquilino da versão de avaliação/pré-visualização.</w:t>
      </w:r>
    </w:p>
    <w:p w14:paraId="48AF34F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C55BF7" w14:textId="3CBD6EA7" w:rsidR="00696175" w:rsidRPr="00EF7CF9" w:rsidRDefault="00696175" w:rsidP="00E46FF7">
      <w:pPr>
        <w:pStyle w:val="ProductList-Offering2Heading"/>
        <w:keepNext/>
        <w:tabs>
          <w:tab w:val="clear" w:pos="360"/>
          <w:tab w:val="clear" w:pos="720"/>
          <w:tab w:val="clear" w:pos="1080"/>
        </w:tabs>
        <w:outlineLvl w:val="2"/>
      </w:pPr>
      <w:bookmarkStart w:id="464" w:name="_Toc214456910"/>
      <w:r>
        <w:t>Impressão Universal</w:t>
      </w:r>
      <w:bookmarkEnd w:id="464"/>
    </w:p>
    <w:p w14:paraId="34AD3F7C" w14:textId="3DED085E" w:rsidR="00696175" w:rsidRPr="00EF7CF9" w:rsidRDefault="00696175" w:rsidP="00F01ED6">
      <w:pPr>
        <w:pStyle w:val="ProductList-Body"/>
      </w:pPr>
      <w:r>
        <w:rPr>
          <w:b/>
          <w:color w:val="00188F"/>
        </w:rPr>
        <w:t>Período de Indisponibilidade</w:t>
      </w:r>
      <w:r w:rsidRPr="00473DD3">
        <w:rPr>
          <w:b/>
          <w:color w:val="00188F"/>
        </w:rPr>
        <w:t>:</w:t>
      </w:r>
      <w:r>
        <w:t xml:space="preserve"> Qualquer período durante a qual a indisponibilidade do Serviço de Impressão Universal resulta na incapacidade dos</w:t>
      </w:r>
      <w:r w:rsidR="005A2543">
        <w:t> </w:t>
      </w:r>
      <w:r>
        <w:t>utilizadores de detetarem impressoras ou enviarem trabalhos de impressão, ou na incapacidade dos administradores registarem ou configurarem impressoras, gerirem o controlo de acesso ou monitorizarem o estado e a utilização da Impressão Universal.</w:t>
      </w:r>
    </w:p>
    <w:p w14:paraId="6A0FEE09" w14:textId="6AE0C5EB" w:rsidR="0069617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684C307" w14:textId="20912333" w:rsidR="00696175" w:rsidRPr="00EF7CF9" w:rsidRDefault="00000000" w:rsidP="00677E9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E3A9CF0" w14:textId="75E878C2" w:rsidR="00696175" w:rsidRDefault="00AC48A7" w:rsidP="00F01ED6">
      <w:pPr>
        <w:pStyle w:val="ProductList-Body"/>
        <w:ind w:right="117"/>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BB12749" w14:textId="77777777" w:rsidR="00BC65E9" w:rsidRPr="00EF7CF9" w:rsidRDefault="00BC65E9" w:rsidP="00F01ED6">
      <w:pPr>
        <w:pStyle w:val="ProductList-Body"/>
        <w:ind w:right="117"/>
        <w:rPr>
          <w:szCs w:val="18"/>
        </w:rPr>
      </w:pPr>
    </w:p>
    <w:p w14:paraId="52F16555" w14:textId="77777777" w:rsidR="00696175" w:rsidRPr="00EF7CF9" w:rsidRDefault="00696175" w:rsidP="00F01ED6">
      <w:pPr>
        <w:pStyle w:val="ProductList-Body"/>
      </w:pPr>
      <w:r>
        <w:rPr>
          <w:b/>
          <w:color w:val="00188F"/>
        </w:rPr>
        <w:lastRenderedPageBreak/>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0EB39DC" w14:textId="77777777" w:rsidR="00696175" w:rsidRPr="00EF7CF9" w:rsidRDefault="00696175" w:rsidP="00F01ED6">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96175">
        <w:tc>
          <w:tcPr>
            <w:tcW w:w="5400" w:type="dxa"/>
          </w:tcPr>
          <w:p w14:paraId="23F2520D" w14:textId="77777777" w:rsidR="00696175" w:rsidRPr="00EF7CF9" w:rsidRDefault="00696175" w:rsidP="00F01ED6">
            <w:pPr>
              <w:pStyle w:val="ProductList-OfferingBody"/>
              <w:jc w:val="center"/>
            </w:pPr>
            <w:r>
              <w:t>&lt; 99,9%</w:t>
            </w:r>
          </w:p>
        </w:tc>
        <w:tc>
          <w:tcPr>
            <w:tcW w:w="5400" w:type="dxa"/>
          </w:tcPr>
          <w:p w14:paraId="22427645" w14:textId="23BDD206" w:rsidR="00696175" w:rsidRPr="00EF7CF9" w:rsidRDefault="00696175" w:rsidP="00F01ED6">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F01ED6">
            <w:pPr>
              <w:pStyle w:val="ProductList-OfferingBody"/>
              <w:jc w:val="center"/>
            </w:pPr>
            <w:r>
              <w:t>&lt; 99%</w:t>
            </w:r>
          </w:p>
        </w:tc>
        <w:tc>
          <w:tcPr>
            <w:tcW w:w="5400" w:type="dxa"/>
          </w:tcPr>
          <w:p w14:paraId="524FA505" w14:textId="32153C6C" w:rsidR="00696175" w:rsidRPr="00EF7CF9" w:rsidRDefault="00696175" w:rsidP="00F01ED6">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F01ED6">
            <w:pPr>
              <w:pStyle w:val="ProductList-OfferingBody"/>
              <w:jc w:val="center"/>
            </w:pPr>
            <w:r>
              <w:t>&lt; 95%</w:t>
            </w:r>
          </w:p>
        </w:tc>
        <w:tc>
          <w:tcPr>
            <w:tcW w:w="5400" w:type="dxa"/>
          </w:tcPr>
          <w:p w14:paraId="28D8DB21" w14:textId="6C113F7D" w:rsidR="00696175" w:rsidRDefault="00696175" w:rsidP="00F01ED6">
            <w:pPr>
              <w:pStyle w:val="ProductList-OfferingBody"/>
              <w:keepNext/>
              <w:jc w:val="center"/>
            </w:pPr>
            <w:r>
              <w:t>100%</w:t>
            </w:r>
          </w:p>
        </w:tc>
      </w:tr>
    </w:tbl>
    <w:p w14:paraId="5F8939BC" w14:textId="77777777" w:rsidR="00696175" w:rsidRPr="00EF7CF9" w:rsidRDefault="00696175" w:rsidP="004B4212">
      <w:pPr>
        <w:pStyle w:val="ProductList-Body"/>
        <w:spacing w:before="120"/>
      </w:pPr>
      <w:r>
        <w:rPr>
          <w:b/>
          <w:color w:val="00188F"/>
        </w:rPr>
        <w:t>Exceções de Nível de Serviço</w:t>
      </w:r>
      <w:r w:rsidRPr="00473DD3">
        <w:rPr>
          <w:b/>
          <w:color w:val="00188F"/>
        </w:rPr>
        <w:t>:</w:t>
      </w:r>
      <w:r>
        <w:t xml:space="preserve"> Este SLA não é aplicável a nenhum Inquilino da versão de avaliação/pré-visualização.</w:t>
      </w:r>
    </w:p>
    <w:p w14:paraId="42942A0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96CC1C1" w14:textId="4EA85D6B" w:rsidR="00347E88" w:rsidRPr="00EF7CF9" w:rsidRDefault="00347E88" w:rsidP="00BC65E9">
      <w:pPr>
        <w:pStyle w:val="ProductList-Offering2Heading"/>
        <w:tabs>
          <w:tab w:val="clear" w:pos="360"/>
          <w:tab w:val="clear" w:pos="720"/>
          <w:tab w:val="clear" w:pos="1080"/>
        </w:tabs>
        <w:outlineLvl w:val="2"/>
      </w:pPr>
      <w:bookmarkStart w:id="465" w:name="_Toc214456911"/>
      <w:r>
        <w:t>Windows 365</w:t>
      </w:r>
      <w:bookmarkEnd w:id="465"/>
    </w:p>
    <w:p w14:paraId="37DB27AD" w14:textId="77911C6A" w:rsidR="00200E38" w:rsidRDefault="00200E38" w:rsidP="00DC1476">
      <w:pPr>
        <w:pStyle w:val="ProductList-Body"/>
        <w:keepNext/>
        <w:keepLines/>
      </w:pPr>
      <w:r>
        <w:rPr>
          <w:b/>
          <w:color w:val="00188F"/>
        </w:rPr>
        <w:t>PC na Nuvem:</w:t>
      </w:r>
      <w:r>
        <w:t xml:space="preserve"> a instância específica do Windows 365 licenciado a um utilizador.</w:t>
      </w:r>
    </w:p>
    <w:p w14:paraId="6D8DDD3B" w14:textId="2E85E124" w:rsidR="00200E38" w:rsidRDefault="00200E38" w:rsidP="00F01ED6">
      <w:pPr>
        <w:pStyle w:val="ProductList-Body"/>
      </w:pPr>
      <w:r>
        <w:rPr>
          <w:b/>
          <w:color w:val="00188F"/>
        </w:rPr>
        <w:t>Período de Indisponibilidade:</w:t>
      </w:r>
      <w:r>
        <w:t xml:space="preserve"> medido em minutos, o período durante o qual todas as tentativas de ligação por um utilizador específico a um PC na</w:t>
      </w:r>
      <w:r w:rsidR="00A631CA">
        <w:t> </w:t>
      </w:r>
      <w:r>
        <w:t>nuvem específico não tiverem êxito, excluindo qualquer um dos seguintes tipos de falhas:</w:t>
      </w:r>
    </w:p>
    <w:p w14:paraId="766D01EA" w14:textId="6150CE49" w:rsidR="00200E38" w:rsidRDefault="00200E38" w:rsidP="00BD698C">
      <w:pPr>
        <w:pStyle w:val="ProductList-Body"/>
        <w:numPr>
          <w:ilvl w:val="0"/>
          <w:numId w:val="37"/>
        </w:numPr>
      </w:pPr>
      <w:r>
        <w:t>As falhas resultantes de o PC em Nuvem estar num estado inoperável não relacionado com a infraestrutura do Azure subjacente (por</w:t>
      </w:r>
      <w:r w:rsidR="00A631CA">
        <w:t> </w:t>
      </w:r>
      <w:r>
        <w:t>exemplo, sistema operativo, configuração do sistema operativo ou configuração incorreta ou danificada); e</w:t>
      </w:r>
    </w:p>
    <w:p w14:paraId="4EEF53FC" w14:textId="23D90CA7" w:rsidR="00200E38" w:rsidRDefault="00200E38" w:rsidP="00BD698C">
      <w:pPr>
        <w:pStyle w:val="ProductList-Body"/>
        <w:numPr>
          <w:ilvl w:val="0"/>
          <w:numId w:val="37"/>
        </w:numPr>
      </w:pPr>
      <w:r>
        <w:t>Falha resultante de uma aplicação ou outro software instalado no PC em Nuvem.</w:t>
      </w:r>
    </w:p>
    <w:p w14:paraId="4E75CCA1" w14:textId="708DB12B" w:rsidR="00200E38" w:rsidRDefault="00200E38" w:rsidP="009D7FEA">
      <w:pPr>
        <w:pStyle w:val="ProductList-Body"/>
        <w:spacing w:before="60" w:after="60"/>
      </w:pPr>
      <w:r>
        <w:rPr>
          <w:b/>
          <w:color w:val="00188F"/>
        </w:rPr>
        <w:t>Período de Indisponibilidade Individual</w:t>
      </w:r>
      <w:r w:rsidRPr="00473DD3">
        <w:rPr>
          <w:b/>
          <w:color w:val="00188F"/>
        </w:rPr>
        <w:t>:</w:t>
      </w:r>
      <w:r>
        <w:t xml:space="preserve"> designa o Período de Indisponibilidade para um determinado utilizador para cada Período Aplicável.</w:t>
      </w:r>
    </w:p>
    <w:p w14:paraId="18380D6A" w14:textId="06D2C353" w:rsidR="00200E38" w:rsidRDefault="00200E38" w:rsidP="009D7FEA">
      <w:pPr>
        <w:pStyle w:val="ProductList-Body"/>
        <w:spacing w:before="60" w:after="60"/>
      </w:pPr>
      <w:r>
        <w:rPr>
          <w:b/>
          <w:color w:val="00188F"/>
        </w:rPr>
        <w:t>Minutos Individuais</w:t>
      </w:r>
      <w:r w:rsidRPr="00473DD3">
        <w:rPr>
          <w:b/>
          <w:color w:val="00188F"/>
        </w:rPr>
        <w:t>:</w:t>
      </w:r>
      <w:r>
        <w:t xml:space="preserve"> designa os Minutos de Utilizador para um determinado utilizador para cada Período Aplicável.</w:t>
      </w:r>
    </w:p>
    <w:p w14:paraId="4238E22F" w14:textId="786ABE29" w:rsidR="00EA5FB1" w:rsidRDefault="00200E38" w:rsidP="009D7FEA">
      <w:pPr>
        <w:pStyle w:val="ProductList-Body"/>
        <w:tabs>
          <w:tab w:val="clear" w:pos="360"/>
          <w:tab w:val="clear" w:pos="720"/>
          <w:tab w:val="clear" w:pos="1080"/>
        </w:tabs>
        <w:spacing w:before="60" w:after="60"/>
      </w:pPr>
      <w:r>
        <w:rPr>
          <w:b/>
          <w:color w:val="00188F"/>
        </w:rPr>
        <w:t>Percentagem de Período de Disponibilidade Individual</w:t>
      </w:r>
      <w:r w:rsidRPr="00473DD3">
        <w:rPr>
          <w:b/>
          <w:color w:val="00188F"/>
        </w:rPr>
        <w:t>:</w:t>
      </w:r>
      <w:r>
        <w:t xml:space="preserve"> A Percentagem de Período de Disponibilidade Individual é calculada da seguinte forma:</w:t>
      </w:r>
    </w:p>
    <w:p w14:paraId="69ABA1CA" w14:textId="0A85E1C0" w:rsidR="00D77FA0" w:rsidRPr="00EF7CF9" w:rsidRDefault="00000000" w:rsidP="00EF16BC">
      <w:pPr>
        <w:spacing w:before="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Individuais - Período de Indisponibilidade Individual</m:t>
              </m:r>
            </m:num>
            <m:den>
              <m:r>
                <m:rPr>
                  <m:nor/>
                </m:rPr>
                <w:rPr>
                  <w:rFonts w:ascii="Cambria Math" w:hAnsi="Cambria Math" w:cs="Calibri"/>
                  <w:i/>
                  <w:iCs/>
                  <w:sz w:val="18"/>
                  <w:szCs w:val="18"/>
                </w:rPr>
                <m:t>Minutos Individuais</m:t>
              </m:r>
            </m:den>
          </m:f>
          <m:r>
            <w:rPr>
              <w:rFonts w:ascii="Cambria Math" w:hAnsi="Cambria Math" w:cs="Calibri"/>
              <w:sz w:val="18"/>
              <w:szCs w:val="18"/>
            </w:rPr>
            <m:t xml:space="preserve"> x 100</m:t>
          </m:r>
        </m:oMath>
      </m:oMathPara>
    </w:p>
    <w:p w14:paraId="4D9462D2" w14:textId="3FA7DC78" w:rsidR="00D77FA0" w:rsidRDefault="0095373D" w:rsidP="00F01ED6">
      <w:pPr>
        <w:pStyle w:val="ProductList-Body"/>
        <w:tabs>
          <w:tab w:val="clear" w:pos="360"/>
          <w:tab w:val="clear" w:pos="720"/>
          <w:tab w:val="clear" w:pos="1080"/>
        </w:tabs>
      </w:pPr>
      <w:r>
        <w:rPr>
          <w:b/>
          <w:color w:val="00188F"/>
        </w:rPr>
        <w:t>Crédito Por Utilizador</w:t>
      </w:r>
      <w:r w:rsidRPr="00473DD3">
        <w:rPr>
          <w:b/>
          <w:color w:val="00188F"/>
        </w:rPr>
        <w:t>:</w:t>
      </w:r>
      <w:r>
        <w:t xml:space="preserve"> Para um Período Aplicável em que a Percentagem de Período de Disponibilidade Regional é inferior a 99,9%, um Crédito Por</w:t>
      </w:r>
      <w:r w:rsidR="00356662">
        <w:t> </w:t>
      </w:r>
      <w:r>
        <w:t>Utilizador será calculado como uma percentagem da parte por utilizador dos Honorários dos Serviços Aplicáveis para cada utilizador para o</w:t>
      </w:r>
      <w:r w:rsidR="00356662">
        <w:t> </w:t>
      </w:r>
      <w:r>
        <w:t>qual</w:t>
      </w:r>
      <w:r w:rsidR="00356662">
        <w:t> </w:t>
      </w:r>
      <w:r>
        <w:t>a Percentagem de Período de Disponibilidade Individual foi inferior a 99,9%, segundo a seguinte tabela (desde que, no entanto, qualquer Percentagem de Período de Disponibilidade Individual que seja inferior à Percentagem de Período de Disponibilidade Regional seja considerada igual à Percentagem de Período de Disponibilidade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F01ED6">
            <w:pPr>
              <w:pStyle w:val="ProductList-OfferingBody"/>
              <w:jc w:val="center"/>
              <w:rPr>
                <w:color w:val="FFFFFF" w:themeColor="background1"/>
              </w:rPr>
            </w:pPr>
            <w:r>
              <w:rPr>
                <w:color w:val="FFFFFF" w:themeColor="background1"/>
              </w:rPr>
              <w:t>Percentagem de Período de Disponibilidade Individual</w:t>
            </w:r>
          </w:p>
        </w:tc>
        <w:tc>
          <w:tcPr>
            <w:tcW w:w="5400" w:type="dxa"/>
            <w:shd w:val="clear" w:color="auto" w:fill="0072C6"/>
          </w:tcPr>
          <w:p w14:paraId="398F011A" w14:textId="1A824ABD" w:rsidR="006E50E4" w:rsidRPr="00EF7CF9" w:rsidRDefault="006E50E4" w:rsidP="00F01ED6">
            <w:pPr>
              <w:pStyle w:val="ProductList-OfferingBody"/>
              <w:jc w:val="center"/>
              <w:rPr>
                <w:color w:val="FFFFFF" w:themeColor="background1"/>
              </w:rPr>
            </w:pPr>
            <w:r>
              <w:rPr>
                <w:color w:val="FFFFFF" w:themeColor="background1"/>
              </w:rPr>
              <w:t>Crédito Por Utilizador</w:t>
            </w:r>
          </w:p>
        </w:tc>
      </w:tr>
      <w:tr w:rsidR="006E50E4" w:rsidRPr="00B44CF9" w14:paraId="5E3BA46F" w14:textId="77777777" w:rsidTr="00277097">
        <w:tc>
          <w:tcPr>
            <w:tcW w:w="5400" w:type="dxa"/>
          </w:tcPr>
          <w:p w14:paraId="6EF6A06C" w14:textId="77777777" w:rsidR="006E50E4" w:rsidRPr="00EF7CF9" w:rsidRDefault="006E50E4" w:rsidP="00F01ED6">
            <w:pPr>
              <w:pStyle w:val="ProductList-OfferingBody"/>
              <w:jc w:val="center"/>
            </w:pPr>
            <w:r>
              <w:t>&lt; 99,9%</w:t>
            </w:r>
          </w:p>
        </w:tc>
        <w:tc>
          <w:tcPr>
            <w:tcW w:w="5400" w:type="dxa"/>
          </w:tcPr>
          <w:p w14:paraId="0675549C" w14:textId="61EAD653" w:rsidR="006E50E4" w:rsidRPr="00EF7CF9" w:rsidRDefault="006E50E4" w:rsidP="00F01ED6">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F01ED6">
            <w:pPr>
              <w:pStyle w:val="ProductList-OfferingBody"/>
              <w:jc w:val="center"/>
            </w:pPr>
            <w:r>
              <w:t>&lt; 99%</w:t>
            </w:r>
          </w:p>
        </w:tc>
        <w:tc>
          <w:tcPr>
            <w:tcW w:w="5400" w:type="dxa"/>
          </w:tcPr>
          <w:p w14:paraId="3968E6C7" w14:textId="7C215A6B" w:rsidR="006E50E4" w:rsidRPr="00EF7CF9" w:rsidRDefault="006E50E4" w:rsidP="00F01ED6">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F01ED6">
            <w:pPr>
              <w:pStyle w:val="ProductList-OfferingBody"/>
              <w:jc w:val="center"/>
            </w:pPr>
            <w:r>
              <w:t>&lt; 95%</w:t>
            </w:r>
          </w:p>
        </w:tc>
        <w:tc>
          <w:tcPr>
            <w:tcW w:w="5400" w:type="dxa"/>
          </w:tcPr>
          <w:p w14:paraId="4F9A94D7" w14:textId="77777777" w:rsidR="006E50E4" w:rsidRDefault="006E50E4" w:rsidP="00F01ED6">
            <w:pPr>
              <w:pStyle w:val="ProductList-OfferingBody"/>
              <w:keepNext/>
              <w:jc w:val="center"/>
            </w:pPr>
            <w:r>
              <w:t>100%</w:t>
            </w:r>
          </w:p>
        </w:tc>
      </w:tr>
    </w:tbl>
    <w:p w14:paraId="49E5A2C2" w14:textId="253D4243" w:rsidR="00417DC1" w:rsidRDefault="00417DC1" w:rsidP="009D7FEA">
      <w:pPr>
        <w:pStyle w:val="ProductList-Body"/>
        <w:spacing w:before="60" w:after="60"/>
      </w:pPr>
      <w:r>
        <w:rPr>
          <w:b/>
          <w:color w:val="00188F"/>
        </w:rPr>
        <w:t>Região</w:t>
      </w:r>
      <w:r w:rsidRPr="00473DD3">
        <w:rPr>
          <w:b/>
          <w:color w:val="00188F"/>
        </w:rPr>
        <w:t>:</w:t>
      </w:r>
      <w:r>
        <w:t xml:space="preserve"> designa as regiões detalhadas em: </w:t>
      </w:r>
      <w:hyperlink r:id="rId22" w:history="1">
        <w:r>
          <w:rPr>
            <w:rStyle w:val="Hyperlink"/>
          </w:rPr>
          <w:t>https://aka.ms/DSLARegionLink</w:t>
        </w:r>
      </w:hyperlink>
      <w:r>
        <w:t>.</w:t>
      </w:r>
    </w:p>
    <w:p w14:paraId="09A1D24F" w14:textId="7D7203C6" w:rsidR="00417DC1" w:rsidRDefault="00417DC1" w:rsidP="009D7FEA">
      <w:pPr>
        <w:pStyle w:val="ProductList-Body"/>
        <w:spacing w:before="60" w:after="60"/>
      </w:pPr>
      <w:r>
        <w:rPr>
          <w:b/>
          <w:color w:val="00188F"/>
        </w:rPr>
        <w:t>Período de Indisponibilidade Regional</w:t>
      </w:r>
      <w:r w:rsidRPr="00473DD3">
        <w:rPr>
          <w:b/>
          <w:color w:val="00188F"/>
        </w:rPr>
        <w:t>:</w:t>
      </w:r>
      <w:r>
        <w:t xml:space="preserve"> designa a soma de todo o Período de Indisponibilidade numa Região para cada Período Aplicável.</w:t>
      </w:r>
    </w:p>
    <w:p w14:paraId="200DCE68" w14:textId="1A07C84E" w:rsidR="00417DC1" w:rsidRDefault="00417DC1" w:rsidP="009D7FEA">
      <w:pPr>
        <w:pStyle w:val="ProductList-Body"/>
        <w:spacing w:before="60" w:after="60"/>
      </w:pPr>
      <w:r>
        <w:rPr>
          <w:b/>
          <w:color w:val="00188F"/>
        </w:rPr>
        <w:t>Minutos Regionais</w:t>
      </w:r>
      <w:r w:rsidRPr="00473DD3">
        <w:rPr>
          <w:b/>
          <w:color w:val="00188F"/>
        </w:rPr>
        <w:t>:</w:t>
      </w:r>
      <w:r>
        <w:t xml:space="preserve"> designa os Minutos de Utilizador numa Região para cada Período Aplicável.</w:t>
      </w:r>
    </w:p>
    <w:p w14:paraId="085EE300" w14:textId="0311D765" w:rsidR="00417DC1" w:rsidRDefault="00417DC1" w:rsidP="009D7FEA">
      <w:pPr>
        <w:pStyle w:val="ProductList-Body"/>
        <w:tabs>
          <w:tab w:val="clear" w:pos="360"/>
          <w:tab w:val="clear" w:pos="720"/>
          <w:tab w:val="clear" w:pos="1080"/>
        </w:tabs>
        <w:spacing w:before="60" w:after="60"/>
      </w:pPr>
      <w:r>
        <w:rPr>
          <w:b/>
          <w:color w:val="00188F"/>
        </w:rPr>
        <w:t>Percentagem de Período de Disponibilidade Regional</w:t>
      </w:r>
      <w:r w:rsidRPr="00473DD3">
        <w:rPr>
          <w:b/>
          <w:color w:val="00188F"/>
        </w:rPr>
        <w:t>:</w:t>
      </w:r>
      <w:r>
        <w:t xml:space="preserve"> calculada com a seguinte fórmula:</w:t>
      </w:r>
    </w:p>
    <w:p w14:paraId="300B5237" w14:textId="02F495EF" w:rsidR="00982191" w:rsidRPr="00EF7CF9" w:rsidRDefault="00000000" w:rsidP="00ED3D82">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Regionais - Período de Indisponibilidade Regional</m:t>
              </m:r>
            </m:num>
            <m:den>
              <m:r>
                <m:rPr>
                  <m:nor/>
                </m:rPr>
                <w:rPr>
                  <w:rFonts w:ascii="Cambria Math" w:hAnsi="Cambria Math" w:cs="Calibri"/>
                  <w:i/>
                  <w:iCs/>
                  <w:sz w:val="18"/>
                  <w:szCs w:val="18"/>
                </w:rPr>
                <m:t>Minutos Regionais</m:t>
              </m:r>
            </m:den>
          </m:f>
          <m:r>
            <w:rPr>
              <w:rFonts w:ascii="Cambria Math" w:hAnsi="Cambria Math" w:cs="Calibri"/>
              <w:sz w:val="18"/>
              <w:szCs w:val="18"/>
            </w:rPr>
            <m:t xml:space="preserve"> x 100</m:t>
          </m:r>
        </m:oMath>
      </m:oMathPara>
    </w:p>
    <w:p w14:paraId="2F4CCAC2" w14:textId="116D2C51" w:rsidR="00982191" w:rsidRDefault="00593CC9" w:rsidP="00F01ED6">
      <w:pPr>
        <w:pStyle w:val="ProductList-Body"/>
        <w:tabs>
          <w:tab w:val="clear" w:pos="360"/>
          <w:tab w:val="clear" w:pos="720"/>
          <w:tab w:val="clear" w:pos="1080"/>
        </w:tabs>
      </w:pPr>
      <w:r>
        <w:rPr>
          <w:b/>
          <w:color w:val="00188F"/>
        </w:rPr>
        <w:t>Crédito de Serviço</w:t>
      </w:r>
      <w:r w:rsidRPr="00473DD3">
        <w:rPr>
          <w:b/>
          <w:color w:val="00188F"/>
        </w:rPr>
        <w:t>:</w:t>
      </w:r>
      <w:r>
        <w:t xml:space="preserve"> para o Windows 365, os Créditos de Serviço não são uma percentagem dos Honorários dos Serviços Aplicáveis, mas serão a</w:t>
      </w:r>
      <w:r w:rsidR="006C0DA8">
        <w:t> </w:t>
      </w:r>
      <w:r>
        <w:t>soma de todos os Créditos Por Utilizador.</w:t>
      </w:r>
    </w:p>
    <w:p w14:paraId="48C374FD" w14:textId="77777777" w:rsidR="00E8637C" w:rsidRPr="00EF7CF9" w:rsidRDefault="00E8637C" w:rsidP="00E8637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0EFEAC1" w14:textId="31D5981C" w:rsidR="00EC2549" w:rsidRPr="00EF7CF9" w:rsidRDefault="00EC2549" w:rsidP="00E8637C">
      <w:pPr>
        <w:pStyle w:val="ProductList-SectionHeading"/>
        <w:keepNext/>
        <w:tabs>
          <w:tab w:val="clear" w:pos="360"/>
          <w:tab w:val="clear" w:pos="720"/>
          <w:tab w:val="clear" w:pos="1080"/>
        </w:tabs>
        <w:outlineLvl w:val="0"/>
      </w:pPr>
      <w:bookmarkStart w:id="466" w:name="AppendixA"/>
      <w:bookmarkStart w:id="467" w:name="ApêndiceA"/>
      <w:bookmarkStart w:id="468" w:name="_Toc457821598"/>
      <w:bookmarkStart w:id="469" w:name="_Toc214456912"/>
      <w:r>
        <w:t>Apêndice A</w:t>
      </w:r>
      <w:bookmarkEnd w:id="466"/>
      <w:bookmarkEnd w:id="467"/>
      <w:r>
        <w:t xml:space="preserve"> – Compromisso de Nível de Serviço para Deteção e</w:t>
      </w:r>
      <w:r w:rsidR="005D764F">
        <w:t> </w:t>
      </w:r>
      <w:r>
        <w:t>Bloqueio de Vírus, Eficácia do Spam ou Falso Positivo</w:t>
      </w:r>
      <w:bookmarkEnd w:id="468"/>
      <w:bookmarkEnd w:id="469"/>
    </w:p>
    <w:p w14:paraId="24580D76" w14:textId="1C047630" w:rsidR="00D46DC5" w:rsidRPr="00EF7CF9" w:rsidRDefault="00D46DC5" w:rsidP="00F01ED6">
      <w:pPr>
        <w:pStyle w:val="ProductList-Body"/>
        <w:tabs>
          <w:tab w:val="clear" w:pos="360"/>
          <w:tab w:val="clear" w:pos="720"/>
          <w:tab w:val="clear" w:pos="1080"/>
        </w:tabs>
      </w:pPr>
      <w:r>
        <w:t>Relativamente ao Exchange Online e ao EOP licenciado como um Serviço autónomo ou através do conjunto ECAL ou Exchange Enterprise CAL com</w:t>
      </w:r>
      <w:r w:rsidR="00444B01">
        <w:t> </w:t>
      </w:r>
      <w:r>
        <w:t>Serviços, o Cliente pode ser elegível para Créditos de Serviço se a Microsoft não cumprir o Nível de Serviço descrito abaixo para: (1) Deteção e</w:t>
      </w:r>
      <w:r w:rsidR="00444B01">
        <w:t> </w:t>
      </w:r>
      <w:r>
        <w:t>Bloqueio de Vírus, (2) Eficácia do Spam ou (3) Falso Positivo. Se um destes Níveis de Serviço Individuais não for cumprido, o Cliente pode submeter uma queixa para obter um Crédito de Serviço. Se um Incidente levar a Microsoft a não cumprir mais do que uma métrica do SLA para</w:t>
      </w:r>
      <w:r w:rsidR="00444B01">
        <w:t> </w:t>
      </w:r>
      <w:r>
        <w:t>o</w:t>
      </w:r>
      <w:r w:rsidR="00444B01">
        <w:t> </w:t>
      </w:r>
      <w:r>
        <w:t>Exchange Online ou EOP, o Cliente só poderá submeter uma queixa de Crédito de Serviço para esse incidente por Serviço.</w:t>
      </w:r>
    </w:p>
    <w:p w14:paraId="0B087758" w14:textId="77777777" w:rsidR="00D46DC5" w:rsidRPr="00EF7CF9" w:rsidRDefault="00D46DC5" w:rsidP="00F01ED6">
      <w:pPr>
        <w:pStyle w:val="ProductList-Body"/>
        <w:tabs>
          <w:tab w:val="clear" w:pos="360"/>
          <w:tab w:val="clear" w:pos="720"/>
          <w:tab w:val="clear" w:pos="1080"/>
        </w:tabs>
      </w:pPr>
    </w:p>
    <w:p w14:paraId="61092289" w14:textId="4FE5C0A7" w:rsidR="00D46DC5" w:rsidRPr="00EF7CF9" w:rsidRDefault="00D46DC5" w:rsidP="00F01ED6">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0F2A0E12" w:rsidR="00D46DC5" w:rsidRPr="00EF7CF9" w:rsidRDefault="00380305" w:rsidP="00F01ED6">
      <w:pPr>
        <w:pStyle w:val="ProductList-Body"/>
        <w:numPr>
          <w:ilvl w:val="1"/>
          <w:numId w:val="6"/>
        </w:numPr>
        <w:tabs>
          <w:tab w:val="clear" w:pos="360"/>
          <w:tab w:val="clear" w:pos="720"/>
          <w:tab w:val="clear" w:pos="1080"/>
        </w:tabs>
        <w:ind w:left="720"/>
      </w:pPr>
      <w:r>
        <w:t>“</w:t>
      </w:r>
      <w:r w:rsidR="00EF7CF9">
        <w:t>Deteção e Bloqueio de Vírus</w:t>
      </w:r>
      <w:r>
        <w:t>”</w:t>
      </w:r>
      <w:r w:rsidR="00EF7CF9">
        <w:t xml:space="preserve"> é definido como a deteção e bloqueio de Vírus pelos filtros para impedir a infeção. </w:t>
      </w:r>
      <w:r>
        <w:t>“</w:t>
      </w:r>
      <w:r w:rsidR="00EF7CF9">
        <w:t>Vírus</w:t>
      </w:r>
      <w:r>
        <w:t>”</w:t>
      </w:r>
      <w:r w:rsidR="00EF7CF9">
        <w:t xml:space="preserve"> é amplamente definido como software maligno (malware), que inclui vírus, worms e Trojans.</w:t>
      </w:r>
    </w:p>
    <w:p w14:paraId="383AB279" w14:textId="494FB664" w:rsidR="00D46DC5" w:rsidRPr="00EF7CF9" w:rsidRDefault="00D46DC5" w:rsidP="00F01ED6">
      <w:pPr>
        <w:pStyle w:val="ProductList-Body"/>
        <w:numPr>
          <w:ilvl w:val="1"/>
          <w:numId w:val="6"/>
        </w:numPr>
        <w:tabs>
          <w:tab w:val="clear" w:pos="360"/>
          <w:tab w:val="clear" w:pos="720"/>
          <w:tab w:val="clear" w:pos="1080"/>
        </w:tabs>
        <w:ind w:left="720"/>
      </w:pPr>
      <w:r>
        <w:t>Um Vírus é considerado conhecido quando os motores de análise de vírus mais utilizados comercialmente conseguem detetar vírus e</w:t>
      </w:r>
      <w:r w:rsidR="00B071C6">
        <w:t> </w:t>
      </w:r>
      <w:r>
        <w:t>a</w:t>
      </w:r>
      <w:r w:rsidR="00B071C6">
        <w:t> </w:t>
      </w:r>
      <w:r>
        <w:t>capacidade de deteção está disponível ao longo da rede EOP.</w:t>
      </w:r>
    </w:p>
    <w:p w14:paraId="3EDD97C9" w14:textId="0741C4BD" w:rsidR="00D46DC5" w:rsidRPr="00EF7CF9" w:rsidRDefault="00D46DC5" w:rsidP="00F01ED6">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EF7CF9" w:rsidRDefault="00D46DC5" w:rsidP="00F01ED6">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EF7CF9" w:rsidRDefault="00D46DC5" w:rsidP="00F01ED6">
      <w:pPr>
        <w:pStyle w:val="ProductList-Body"/>
        <w:numPr>
          <w:ilvl w:val="1"/>
          <w:numId w:val="6"/>
        </w:numPr>
        <w:tabs>
          <w:tab w:val="clear" w:pos="360"/>
          <w:tab w:val="clear" w:pos="720"/>
          <w:tab w:val="clear" w:pos="1080"/>
        </w:tabs>
        <w:ind w:left="720"/>
      </w:pPr>
      <w:r>
        <w:t>Se o EOP enviar para o Cliente uma mensagem de e-mail que esteja infetada com um vírus conhecido, o EOP irá notificar e trabalhar com o Cliente para o identificar e remover. Se isto resultar na prevenção de uma infeção, o Cliente não será elegível para um Crédito de Serviço ao abrigo do Nível de Serviço de Deteção e Bloqueio de Vírus.</w:t>
      </w:r>
    </w:p>
    <w:p w14:paraId="086E42AC" w14:textId="7A7D04B9" w:rsidR="00D46DC5" w:rsidRPr="00EF7CF9" w:rsidRDefault="00D46DC5" w:rsidP="00F01ED6">
      <w:pPr>
        <w:pStyle w:val="ProductList-Body"/>
        <w:numPr>
          <w:ilvl w:val="1"/>
          <w:numId w:val="6"/>
        </w:numPr>
        <w:tabs>
          <w:tab w:val="clear" w:pos="360"/>
          <w:tab w:val="clear" w:pos="720"/>
          <w:tab w:val="clear" w:pos="1080"/>
        </w:tabs>
        <w:ind w:left="720"/>
      </w:pPr>
      <w:r>
        <w:t>O Nível de Serviço de Deteção e Bloqueio de Vírus não se aplica a:</w:t>
      </w:r>
    </w:p>
    <w:p w14:paraId="09006C52" w14:textId="524237E8" w:rsidR="00D46DC5" w:rsidRPr="00EF7CF9" w:rsidRDefault="00D46DC5" w:rsidP="00F01ED6">
      <w:pPr>
        <w:pStyle w:val="ProductList-Body"/>
        <w:numPr>
          <w:ilvl w:val="2"/>
          <w:numId w:val="6"/>
        </w:numPr>
        <w:tabs>
          <w:tab w:val="clear" w:pos="360"/>
          <w:tab w:val="clear" w:pos="720"/>
          <w:tab w:val="clear" w:pos="1080"/>
        </w:tabs>
        <w:ind w:left="1080" w:hanging="360"/>
      </w:pPr>
      <w:r>
        <w:t>Formas de utilização abusiva de mensagens de e-mail não classificadas como malware, tais como spam, phishing e outros esquemas, adware e formas de spyware que, dada a sua natureza direcionada ou utilização limitada, não são conhecidos da comunidade antivírus, pelo que não são controlados pelos produtos antivírus como um vírus.</w:t>
      </w:r>
    </w:p>
    <w:p w14:paraId="7048433A" w14:textId="7661DAAF" w:rsidR="00D46DC5" w:rsidRPr="00EF7CF9" w:rsidRDefault="00D46DC5" w:rsidP="00F01ED6">
      <w:pPr>
        <w:pStyle w:val="ProductList-Body"/>
        <w:numPr>
          <w:ilvl w:val="2"/>
          <w:numId w:val="6"/>
        </w:numPr>
        <w:tabs>
          <w:tab w:val="clear" w:pos="360"/>
          <w:tab w:val="clear" w:pos="720"/>
          <w:tab w:val="clear" w:pos="1080"/>
        </w:tabs>
        <w:ind w:left="1080" w:hanging="360"/>
      </w:pPr>
      <w:r>
        <w:t>Vírus corruptos, com defeitos, truncados ou inativos contidos em mensagens de e-mail de relatórios de entrega sem êxito, de notificações ou mensagens devolvidas.</w:t>
      </w:r>
    </w:p>
    <w:p w14:paraId="1F48062D" w14:textId="6EC757FD" w:rsidR="00D46DC5"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de Deteção e Bloqueio de Vírus é: 25% do Crédito de Serviço dos Honorários dos Serviços Aplicáveis se ocorrer uma infeção num Período Aplicável, com um máximo de uma queixa permitida por Período Aplicável.</w:t>
      </w:r>
    </w:p>
    <w:p w14:paraId="5A7D88E7" w14:textId="77777777" w:rsidR="00D46DC5" w:rsidRPr="00C9746A" w:rsidRDefault="00D46DC5" w:rsidP="00F01ED6">
      <w:pPr>
        <w:pStyle w:val="ProductList-Body"/>
        <w:tabs>
          <w:tab w:val="clear" w:pos="360"/>
          <w:tab w:val="clear" w:pos="720"/>
          <w:tab w:val="clear" w:pos="1080"/>
        </w:tabs>
        <w:ind w:left="720"/>
        <w:rPr>
          <w:szCs w:val="18"/>
        </w:rPr>
      </w:pPr>
    </w:p>
    <w:p w14:paraId="2921BACD" w14:textId="22CBB5DA"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3EC3441" w:rsidR="00D46DC5" w:rsidRPr="00EF7CF9" w:rsidRDefault="00380305" w:rsidP="00F01ED6">
      <w:pPr>
        <w:pStyle w:val="ProductList-Body"/>
        <w:numPr>
          <w:ilvl w:val="1"/>
          <w:numId w:val="6"/>
        </w:numPr>
        <w:tabs>
          <w:tab w:val="clear" w:pos="360"/>
          <w:tab w:val="clear" w:pos="720"/>
          <w:tab w:val="clear" w:pos="1080"/>
        </w:tabs>
        <w:ind w:left="720"/>
      </w:pPr>
      <w:r>
        <w:t>“</w:t>
      </w:r>
      <w:r w:rsidR="00EF7CF9">
        <w:t>Eficácia do Spam</w:t>
      </w:r>
      <w:r>
        <w:t>”</w:t>
      </w:r>
      <w:r w:rsidR="00EF7CF9">
        <w:t xml:space="preserve"> é definida como a percentagem de spam recebido detetado pelo sistema de filtragem, medido diariamente.</w:t>
      </w:r>
    </w:p>
    <w:p w14:paraId="64ABB92E" w14:textId="79612D0E" w:rsidR="00D46DC5" w:rsidRPr="00EF7CF9" w:rsidRDefault="00D46DC5" w:rsidP="00F01ED6">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EF7CF9" w:rsidRDefault="00D46DC5" w:rsidP="00F01ED6">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EF7CF9" w:rsidRDefault="00D46DC5" w:rsidP="00F01ED6">
      <w:pPr>
        <w:pStyle w:val="ProductList-Body"/>
        <w:numPr>
          <w:ilvl w:val="1"/>
          <w:numId w:val="6"/>
        </w:numPr>
        <w:tabs>
          <w:tab w:val="clear" w:pos="360"/>
          <w:tab w:val="clear" w:pos="720"/>
          <w:tab w:val="clear" w:pos="1080"/>
        </w:tabs>
        <w:ind w:left="720"/>
      </w:pPr>
      <w:r>
        <w:t xml:space="preserve">O Nível de Serviço da Eficácia do Spam não se aplica ao e-mail com a maior parte de conteúdo que não está em inglês. </w:t>
      </w:r>
    </w:p>
    <w:p w14:paraId="2713F5AA" w14:textId="733D5B1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13DCCE23" w:rsidR="00B10E8D"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da Eficácia do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F01ED6">
            <w:pPr>
              <w:pStyle w:val="ProductList-OfferingBody"/>
              <w:jc w:val="center"/>
              <w:rPr>
                <w:color w:val="FFFFFF" w:themeColor="background1"/>
              </w:rPr>
            </w:pPr>
            <w:r>
              <w:rPr>
                <w:color w:val="FFFFFF" w:themeColor="background1"/>
              </w:rPr>
              <w:t>% do Período Aplicável em que a Eficácia do Spam está abaixo dos 99%</w:t>
            </w:r>
          </w:p>
        </w:tc>
        <w:tc>
          <w:tcPr>
            <w:tcW w:w="5040" w:type="dxa"/>
            <w:shd w:val="clear" w:color="auto" w:fill="0072C6"/>
          </w:tcPr>
          <w:p w14:paraId="56BE0234" w14:textId="77777777" w:rsidR="00D46DC5" w:rsidRPr="00EF7CF9" w:rsidRDefault="00D46DC5" w:rsidP="00F01ED6">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D46DC5">
        <w:tc>
          <w:tcPr>
            <w:tcW w:w="5040" w:type="dxa"/>
          </w:tcPr>
          <w:p w14:paraId="631738B0" w14:textId="6F6D8C4B" w:rsidR="00D46DC5" w:rsidRPr="00EF7CF9" w:rsidRDefault="00D46DC5" w:rsidP="00F01ED6">
            <w:pPr>
              <w:pStyle w:val="ProductList-OfferingBody"/>
              <w:jc w:val="center"/>
            </w:pPr>
            <w:r>
              <w:t>&gt;</w:t>
            </w:r>
            <w:r w:rsidR="00FD6AB8">
              <w:t xml:space="preserve"> </w:t>
            </w:r>
            <w:r>
              <w:t>25%</w:t>
            </w:r>
          </w:p>
        </w:tc>
        <w:tc>
          <w:tcPr>
            <w:tcW w:w="5040" w:type="dxa"/>
          </w:tcPr>
          <w:p w14:paraId="0CE6B48C" w14:textId="77777777" w:rsidR="00D46DC5" w:rsidRPr="00EF7CF9" w:rsidRDefault="00D46DC5" w:rsidP="00F01E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F01ED6">
            <w:pPr>
              <w:pStyle w:val="ProductList-OfferingBody"/>
              <w:jc w:val="center"/>
            </w:pPr>
            <w:r>
              <w:t>&gt; 50%</w:t>
            </w:r>
          </w:p>
        </w:tc>
        <w:tc>
          <w:tcPr>
            <w:tcW w:w="5040" w:type="dxa"/>
          </w:tcPr>
          <w:p w14:paraId="2DE7EA92" w14:textId="77777777" w:rsidR="00D46DC5" w:rsidRPr="00EF7CF9" w:rsidRDefault="00D46DC5" w:rsidP="00F01E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F01ED6">
            <w:pPr>
              <w:pStyle w:val="ProductList-OfferingBody"/>
              <w:jc w:val="center"/>
            </w:pPr>
            <w:r>
              <w:t>100%</w:t>
            </w:r>
          </w:p>
        </w:tc>
        <w:tc>
          <w:tcPr>
            <w:tcW w:w="5040" w:type="dxa"/>
          </w:tcPr>
          <w:p w14:paraId="2AC83C59" w14:textId="77777777" w:rsidR="00D46DC5" w:rsidRPr="00EF7CF9" w:rsidRDefault="00D46DC5" w:rsidP="00F01ED6">
            <w:pPr>
              <w:pStyle w:val="ProductList-OfferingBody"/>
              <w:jc w:val="center"/>
            </w:pPr>
            <w:r>
              <w:t>100%</w:t>
            </w:r>
          </w:p>
        </w:tc>
      </w:tr>
    </w:tbl>
    <w:p w14:paraId="5FF28ED0" w14:textId="77777777" w:rsidR="00D46DC5" w:rsidRPr="00C9746A" w:rsidRDefault="00D46DC5" w:rsidP="00F01ED6">
      <w:pPr>
        <w:pStyle w:val="ProductList-Body"/>
        <w:tabs>
          <w:tab w:val="clear" w:pos="360"/>
          <w:tab w:val="clear" w:pos="720"/>
          <w:tab w:val="clear" w:pos="1080"/>
        </w:tabs>
        <w:rPr>
          <w:szCs w:val="18"/>
        </w:rPr>
      </w:pPr>
    </w:p>
    <w:p w14:paraId="790AF5B7" w14:textId="450B8A56"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9BD76F8" w:rsidR="00D46DC5" w:rsidRPr="00EF7CF9" w:rsidRDefault="00380305" w:rsidP="00F01ED6">
      <w:pPr>
        <w:pStyle w:val="ProductList-Body"/>
        <w:numPr>
          <w:ilvl w:val="1"/>
          <w:numId w:val="6"/>
        </w:numPr>
        <w:tabs>
          <w:tab w:val="clear" w:pos="360"/>
          <w:tab w:val="clear" w:pos="720"/>
          <w:tab w:val="clear" w:pos="1080"/>
        </w:tabs>
        <w:ind w:left="720"/>
      </w:pPr>
      <w:r>
        <w:t>“</w:t>
      </w:r>
      <w:r w:rsidR="00EF7CF9">
        <w:t>Falso Positivo</w:t>
      </w:r>
      <w:r>
        <w:t>”</w:t>
      </w:r>
      <w:r w:rsidR="00EF7CF9">
        <w:t xml:space="preserve"> é definido como o rácio de mensagens de e-mail comerciais legítimas identificadas incorretamente como spam pelo sistema de filtragem para todas as mensagens de e-mail processadas pelo serviço num Período Aplicável.</w:t>
      </w:r>
    </w:p>
    <w:p w14:paraId="6200DF6C" w14:textId="75E7A01E" w:rsidR="00D46DC5" w:rsidRPr="00FD6AB8" w:rsidRDefault="00D46DC5" w:rsidP="00F01ED6">
      <w:pPr>
        <w:pStyle w:val="ProductList-Body"/>
        <w:numPr>
          <w:ilvl w:val="1"/>
          <w:numId w:val="6"/>
        </w:numPr>
        <w:tabs>
          <w:tab w:val="clear" w:pos="360"/>
          <w:tab w:val="clear" w:pos="720"/>
          <w:tab w:val="clear" w:pos="1080"/>
        </w:tabs>
        <w:ind w:left="720"/>
        <w:jc w:val="both"/>
        <w:rPr>
          <w:spacing w:val="-2"/>
        </w:rPr>
      </w:pPr>
      <w:r w:rsidRPr="00FD6AB8">
        <w:rPr>
          <w:spacing w:val="-2"/>
        </w:rPr>
        <w:t>As mensagens completas e originais, incluindo todos os cabeçalhos, têm de ser reportadas à equipa de processamento de utilizações abusivas.</w:t>
      </w:r>
    </w:p>
    <w:p w14:paraId="56882ADE" w14:textId="51F69848" w:rsidR="00D46DC5" w:rsidRPr="00EF7CF9" w:rsidRDefault="00D46DC5" w:rsidP="00F01ED6">
      <w:pPr>
        <w:pStyle w:val="ProductList-Body"/>
        <w:numPr>
          <w:ilvl w:val="1"/>
          <w:numId w:val="6"/>
        </w:numPr>
        <w:tabs>
          <w:tab w:val="clear" w:pos="360"/>
          <w:tab w:val="clear" w:pos="720"/>
          <w:tab w:val="clear" w:pos="1080"/>
        </w:tabs>
        <w:ind w:left="720"/>
      </w:pPr>
      <w:r>
        <w:t>Aplica-se às mensagens de e-mail enviado apenas para as caixas de correio válidas.</w:t>
      </w:r>
    </w:p>
    <w:p w14:paraId="40E1716C" w14:textId="036400E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w:t>
      </w:r>
      <w:r w:rsidR="00FD6AB8">
        <w:t> </w:t>
      </w:r>
      <w:r>
        <w:t>boa fé do rácio de falsos positivos com base nas provas fornecidas atempadamente pelo Cliente.</w:t>
      </w:r>
    </w:p>
    <w:p w14:paraId="23C90FDB" w14:textId="474C063D" w:rsidR="00D46DC5" w:rsidRPr="00EF7CF9" w:rsidRDefault="00D46DC5" w:rsidP="00F01ED6">
      <w:pPr>
        <w:pStyle w:val="ProductList-Body"/>
        <w:numPr>
          <w:ilvl w:val="1"/>
          <w:numId w:val="6"/>
        </w:numPr>
        <w:tabs>
          <w:tab w:val="clear" w:pos="360"/>
          <w:tab w:val="clear" w:pos="720"/>
          <w:tab w:val="clear" w:pos="1080"/>
        </w:tabs>
        <w:ind w:left="720"/>
      </w:pPr>
      <w:r>
        <w:t>Este Nível de Serviço de Falso Positivo não deve ser aplicado a:</w:t>
      </w:r>
    </w:p>
    <w:p w14:paraId="7372134E" w14:textId="4A9824CE" w:rsidR="00D46DC5" w:rsidRPr="00EF7CF9" w:rsidRDefault="00D46DC5" w:rsidP="00F01ED6">
      <w:pPr>
        <w:pStyle w:val="ProductList-Body"/>
        <w:numPr>
          <w:ilvl w:val="2"/>
          <w:numId w:val="6"/>
        </w:numPr>
        <w:tabs>
          <w:tab w:val="clear" w:pos="360"/>
          <w:tab w:val="clear" w:pos="720"/>
          <w:tab w:val="clear" w:pos="1080"/>
        </w:tabs>
        <w:ind w:left="1080" w:hanging="360"/>
      </w:pPr>
      <w:r>
        <w:t>e-mail em massa, pessoal ou pornográfico</w:t>
      </w:r>
    </w:p>
    <w:p w14:paraId="7A5B93DD" w14:textId="481EF0DD" w:rsidR="00D46DC5" w:rsidRPr="00EF7CF9" w:rsidRDefault="00D46DC5" w:rsidP="00F01ED6">
      <w:pPr>
        <w:pStyle w:val="ProductList-Body"/>
        <w:numPr>
          <w:ilvl w:val="2"/>
          <w:numId w:val="6"/>
        </w:numPr>
        <w:tabs>
          <w:tab w:val="clear" w:pos="360"/>
          <w:tab w:val="clear" w:pos="720"/>
          <w:tab w:val="clear" w:pos="1080"/>
        </w:tabs>
        <w:ind w:left="1080" w:hanging="360"/>
      </w:pPr>
      <w:r>
        <w:t>e-mail com a maior parte de conteúdo que não está em inglês</w:t>
      </w:r>
    </w:p>
    <w:p w14:paraId="2644814B" w14:textId="660B23B4" w:rsidR="00D46DC5" w:rsidRPr="00EF7CF9" w:rsidRDefault="00D46DC5" w:rsidP="00F01ED6">
      <w:pPr>
        <w:pStyle w:val="ProductList-Body"/>
        <w:numPr>
          <w:ilvl w:val="2"/>
          <w:numId w:val="6"/>
        </w:numPr>
        <w:tabs>
          <w:tab w:val="clear" w:pos="360"/>
          <w:tab w:val="clear" w:pos="720"/>
          <w:tab w:val="clear" w:pos="1080"/>
        </w:tabs>
        <w:ind w:left="1080" w:hanging="360"/>
      </w:pPr>
      <w:r>
        <w:t>e-mail bloqueado por uma regra de política, filtros de reputação ou filtros de ligação SMTP</w:t>
      </w:r>
    </w:p>
    <w:p w14:paraId="2D20E567" w14:textId="54658CED" w:rsidR="00D46DC5" w:rsidRPr="00EF7CF9" w:rsidRDefault="00D46DC5" w:rsidP="00F01ED6">
      <w:pPr>
        <w:pStyle w:val="ProductList-Body"/>
        <w:numPr>
          <w:ilvl w:val="2"/>
          <w:numId w:val="6"/>
        </w:numPr>
        <w:tabs>
          <w:tab w:val="clear" w:pos="360"/>
          <w:tab w:val="clear" w:pos="720"/>
          <w:tab w:val="clear" w:pos="1080"/>
        </w:tabs>
        <w:ind w:left="1080" w:hanging="360"/>
      </w:pPr>
      <w:r>
        <w:t>e-mail enviado para a pasta de lixo</w:t>
      </w:r>
    </w:p>
    <w:p w14:paraId="775DAECE" w14:textId="56DC4673" w:rsidR="00D46DC5" w:rsidRPr="00EF7CF9" w:rsidRDefault="00D46DC5" w:rsidP="0043353B">
      <w:pPr>
        <w:pStyle w:val="ProductList-Body"/>
        <w:keepNext/>
        <w:keepLines/>
        <w:numPr>
          <w:ilvl w:val="1"/>
          <w:numId w:val="6"/>
        </w:numPr>
        <w:tabs>
          <w:tab w:val="clear" w:pos="360"/>
          <w:tab w:val="clear" w:pos="720"/>
          <w:tab w:val="clear" w:pos="1080"/>
        </w:tabs>
        <w:ind w:left="720"/>
      </w:pPr>
      <w:r>
        <w:t>O Crédito de Serviço disponível para o Serviço de Falso 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3353B">
            <w:pPr>
              <w:pStyle w:val="ProductList-OfferingBody"/>
              <w:keepNext/>
              <w:keepLines/>
              <w:jc w:val="center"/>
              <w:rPr>
                <w:color w:val="FFFFFF" w:themeColor="background1"/>
              </w:rPr>
            </w:pPr>
            <w:r>
              <w:rPr>
                <w:color w:val="FFFFFF" w:themeColor="background1"/>
              </w:rPr>
              <w:t>Rácio de Falsos Positivos num Período Aplicável</w:t>
            </w:r>
          </w:p>
        </w:tc>
        <w:tc>
          <w:tcPr>
            <w:tcW w:w="5040" w:type="dxa"/>
            <w:shd w:val="clear" w:color="auto" w:fill="0072C6"/>
          </w:tcPr>
          <w:p w14:paraId="60CA8A89" w14:textId="77777777" w:rsidR="00D46DC5" w:rsidRPr="00EF7CF9" w:rsidRDefault="00D46DC5" w:rsidP="0043353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F575B8">
        <w:tc>
          <w:tcPr>
            <w:tcW w:w="5040" w:type="dxa"/>
          </w:tcPr>
          <w:p w14:paraId="6B80DC14" w14:textId="145C484D" w:rsidR="00D46DC5" w:rsidRPr="00EF7CF9" w:rsidRDefault="00D46DC5" w:rsidP="0043353B">
            <w:pPr>
              <w:pStyle w:val="ProductList-OfferingBody"/>
              <w:keepNext/>
              <w:keepLines/>
              <w:jc w:val="center"/>
            </w:pPr>
            <w:r>
              <w:t>&gt; 1:250.000</w:t>
            </w:r>
          </w:p>
        </w:tc>
        <w:tc>
          <w:tcPr>
            <w:tcW w:w="5040" w:type="dxa"/>
          </w:tcPr>
          <w:p w14:paraId="4987D417" w14:textId="77777777" w:rsidR="00D46DC5" w:rsidRPr="00EF7CF9" w:rsidRDefault="00D46DC5" w:rsidP="0043353B">
            <w:pPr>
              <w:pStyle w:val="ProductList-OfferingBody"/>
              <w:keepNext/>
              <w:keepLines/>
              <w:jc w:val="center"/>
            </w:pPr>
            <w:r>
              <w:t>25%</w:t>
            </w:r>
          </w:p>
        </w:tc>
      </w:tr>
      <w:tr w:rsidR="00D46DC5" w:rsidRPr="00B44CF9" w14:paraId="3254687C" w14:textId="77777777" w:rsidTr="00F575B8">
        <w:tc>
          <w:tcPr>
            <w:tcW w:w="5040" w:type="dxa"/>
          </w:tcPr>
          <w:p w14:paraId="0B1DD814" w14:textId="334E68D2" w:rsidR="00D46DC5" w:rsidRPr="00EF7CF9" w:rsidRDefault="00D46DC5" w:rsidP="00F01ED6">
            <w:pPr>
              <w:pStyle w:val="ProductList-OfferingBody"/>
              <w:jc w:val="center"/>
            </w:pPr>
            <w:r>
              <w:t>&gt; 1:10.000</w:t>
            </w:r>
          </w:p>
        </w:tc>
        <w:tc>
          <w:tcPr>
            <w:tcW w:w="5040" w:type="dxa"/>
          </w:tcPr>
          <w:p w14:paraId="12F73FB9" w14:textId="77777777" w:rsidR="00D46DC5" w:rsidRPr="00EF7CF9" w:rsidRDefault="00D46DC5" w:rsidP="00F01E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F01ED6">
            <w:pPr>
              <w:pStyle w:val="ProductList-OfferingBody"/>
              <w:jc w:val="center"/>
            </w:pPr>
            <w:r>
              <w:t>&gt; 1:100</w:t>
            </w:r>
          </w:p>
        </w:tc>
        <w:tc>
          <w:tcPr>
            <w:tcW w:w="5040" w:type="dxa"/>
          </w:tcPr>
          <w:p w14:paraId="0C773A17" w14:textId="77777777" w:rsidR="00D46DC5" w:rsidRPr="00EF7CF9" w:rsidRDefault="00D46DC5" w:rsidP="00F01ED6">
            <w:pPr>
              <w:pStyle w:val="ProductList-OfferingBody"/>
              <w:jc w:val="center"/>
            </w:pPr>
            <w:r>
              <w:t>100%</w:t>
            </w:r>
          </w:p>
        </w:tc>
      </w:tr>
    </w:tbl>
    <w:p w14:paraId="279EA900" w14:textId="77777777" w:rsidR="004951A0" w:rsidRPr="00EF7CF9" w:rsidRDefault="004951A0" w:rsidP="004951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sectPr w:rsidR="004951A0" w:rsidRPr="00EF7CF9" w:rsidSect="008B1CA1">
      <w:footerReference w:type="first" r:id="rId2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B3795" w14:textId="77777777" w:rsidR="00A10C2F" w:rsidRDefault="00A10C2F" w:rsidP="009A573F">
      <w:pPr>
        <w:spacing w:after="0" w:line="240" w:lineRule="auto"/>
      </w:pPr>
      <w:r>
        <w:separator/>
      </w:r>
    </w:p>
    <w:p w14:paraId="47F05447" w14:textId="77777777" w:rsidR="00A10C2F" w:rsidRDefault="00A10C2F"/>
    <w:p w14:paraId="69DDF917" w14:textId="77777777" w:rsidR="00A10C2F" w:rsidRDefault="00A10C2F"/>
    <w:p w14:paraId="03A9C445" w14:textId="77777777" w:rsidR="00A10C2F" w:rsidRDefault="00A10C2F"/>
    <w:p w14:paraId="22DB4789" w14:textId="77777777" w:rsidR="00A10C2F" w:rsidRDefault="00A10C2F"/>
  </w:endnote>
  <w:endnote w:type="continuationSeparator" w:id="0">
    <w:p w14:paraId="22DBE9E4" w14:textId="77777777" w:rsidR="00A10C2F" w:rsidRDefault="00A10C2F" w:rsidP="009A573F">
      <w:pPr>
        <w:spacing w:after="0" w:line="240" w:lineRule="auto"/>
      </w:pPr>
      <w:r>
        <w:continuationSeparator/>
      </w:r>
    </w:p>
    <w:p w14:paraId="69A8A4A5" w14:textId="77777777" w:rsidR="00A10C2F" w:rsidRDefault="00A10C2F"/>
    <w:p w14:paraId="05C13F76" w14:textId="77777777" w:rsidR="00A10C2F" w:rsidRDefault="00A10C2F"/>
    <w:p w14:paraId="61AC4C76" w14:textId="77777777" w:rsidR="00A10C2F" w:rsidRDefault="00A10C2F"/>
    <w:p w14:paraId="29FE265B" w14:textId="77777777" w:rsidR="00A10C2F" w:rsidRDefault="00A10C2F"/>
  </w:endnote>
  <w:endnote w:type="continuationNotice" w:id="1">
    <w:p w14:paraId="55911995" w14:textId="77777777" w:rsidR="00A10C2F" w:rsidRDefault="00A10C2F">
      <w:pPr>
        <w:spacing w:after="0" w:line="240" w:lineRule="auto"/>
      </w:pPr>
    </w:p>
    <w:p w14:paraId="3A8F3F99" w14:textId="77777777" w:rsidR="00A10C2F" w:rsidRDefault="00A10C2F"/>
    <w:p w14:paraId="24879B96" w14:textId="77777777" w:rsidR="00A10C2F" w:rsidRDefault="00A10C2F"/>
    <w:p w14:paraId="01689C84" w14:textId="77777777" w:rsidR="00A10C2F" w:rsidRDefault="00A10C2F"/>
    <w:p w14:paraId="25493152" w14:textId="77777777" w:rsidR="00A10C2F" w:rsidRDefault="00A10C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380305" w:rsidRDefault="00380305" w:rsidP="00914BDB">
    <w:pPr>
      <w:pStyle w:val="ProductList-Body"/>
    </w:pPr>
    <w:r>
      <w:rPr>
        <w:noProof/>
        <w:lang w:val="en-US" w:eastAsia="zh-CN" w:bidi="ar-SA"/>
      </w:rPr>
      <w:drawing>
        <wp:inline distT="0" distB="0" distL="0" distR="0" wp14:anchorId="57C84DC6" wp14:editId="3A5C7D0C">
          <wp:extent cx="1993692" cy="457200"/>
          <wp:effectExtent l="0" t="0" r="6985" b="0"/>
          <wp:docPr id="1576501788" name="Picture 1576501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78DC3BD5" w14:textId="77777777" w:rsidTr="00674FD5">
      <w:tc>
        <w:tcPr>
          <w:tcW w:w="1975" w:type="dxa"/>
          <w:shd w:val="clear" w:color="auto" w:fill="BFBFBF" w:themeFill="background1" w:themeFillShade="BF"/>
          <w:vAlign w:val="center"/>
        </w:tcPr>
        <w:p w14:paraId="342A3D30"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537A2EE1"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16562C8"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798B3B7D"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D762A63"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6944FB18"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661AD8D"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3C4BA7E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D7627A8" w14:textId="5799274C"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33F0587C" w14:textId="77777777" w:rsidR="00E244C6" w:rsidRDefault="00E244C6" w:rsidP="00E244C6">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80305" w:rsidRPr="00C76DF3" w14:paraId="32E85765" w14:textId="77777777" w:rsidTr="00B0776A">
      <w:tc>
        <w:tcPr>
          <w:tcW w:w="1975" w:type="dxa"/>
          <w:shd w:val="clear" w:color="auto" w:fill="BFBFBF" w:themeFill="background1" w:themeFillShade="BF"/>
          <w:vAlign w:val="center"/>
        </w:tcPr>
        <w:p w14:paraId="7081A355" w14:textId="77777777" w:rsidR="00380305" w:rsidRPr="00C76DF3" w:rsidRDefault="00380305"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3863E4F2" w14:textId="77777777" w:rsidR="00380305" w:rsidRPr="00C76DF3" w:rsidRDefault="00380305" w:rsidP="005861E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0DD826BD" w:rsidR="00380305" w:rsidRPr="00C76DF3" w:rsidRDefault="00380305"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68A10451" w14:textId="77777777" w:rsidR="00380305" w:rsidRPr="00C76DF3" w:rsidRDefault="00380305" w:rsidP="005861E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8C4758B" w:rsidR="00380305" w:rsidRPr="00C76DF3" w:rsidRDefault="00380305"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2EA56682" w14:textId="77777777" w:rsidR="00380305" w:rsidRPr="00C76DF3" w:rsidRDefault="00380305"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D2DF61B" w:rsidR="00380305" w:rsidRPr="00C76DF3" w:rsidRDefault="00380305"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18D69201" w14:textId="77777777" w:rsidR="00380305" w:rsidRPr="00C76DF3" w:rsidRDefault="00380305"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1964D46" w:rsidR="00380305" w:rsidRPr="00C76DF3" w:rsidRDefault="005814E2"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F49D278" w14:textId="77777777" w:rsidR="00380305" w:rsidRDefault="0038030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80305" w:rsidRPr="00C76DF3" w14:paraId="49EBE58A" w14:textId="77777777" w:rsidTr="00B5200C">
      <w:tc>
        <w:tcPr>
          <w:tcW w:w="1255" w:type="dxa"/>
          <w:shd w:val="clear" w:color="auto" w:fill="F2F2F2" w:themeFill="background1" w:themeFillShade="F2"/>
          <w:vAlign w:val="center"/>
        </w:tcPr>
        <w:p w14:paraId="102377D2" w14:textId="77777777" w:rsidR="00380305" w:rsidRPr="00C76DF3" w:rsidRDefault="00380305"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3BB867E4" w14:textId="77777777" w:rsidR="00380305" w:rsidRPr="00C76DF3" w:rsidRDefault="0038030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80305" w:rsidRPr="00C76DF3" w:rsidRDefault="00380305"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53D82520" w14:textId="77777777" w:rsidR="00380305" w:rsidRPr="00C76DF3" w:rsidRDefault="0038030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80305" w:rsidRPr="00C76DF3" w:rsidRDefault="00380305"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Licenciamento</w:t>
            </w:r>
          </w:hyperlink>
        </w:p>
      </w:tc>
      <w:tc>
        <w:tcPr>
          <w:tcW w:w="183" w:type="dxa"/>
          <w:tcBorders>
            <w:top w:val="nil"/>
            <w:bottom w:val="nil"/>
          </w:tcBorders>
          <w:vAlign w:val="center"/>
        </w:tcPr>
        <w:p w14:paraId="1125AF40" w14:textId="77777777" w:rsidR="00380305" w:rsidRPr="00C76DF3" w:rsidRDefault="0038030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80305" w:rsidRPr="00C76DF3" w:rsidRDefault="00380305"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80305" w:rsidRPr="00C76DF3" w:rsidRDefault="00380305"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774E3CA7" w14:textId="77777777" w:rsidR="00380305" w:rsidRPr="00C76DF3" w:rsidRDefault="0038030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80305" w:rsidRPr="00C76DF3" w:rsidRDefault="0038030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Pr>
                  <w:rStyle w:val="Hyperlink"/>
                  <w:sz w:val="14"/>
                  <w:szCs w:val="14"/>
                </w:rPr>
                <w:t>Glossário</w:t>
              </w:r>
            </w:hyperlink>
          </w:hyperlink>
          <w:hyperlink w:anchor="Serviços" w:history="1">
            <w:r>
              <w:rPr>
                <w:rStyle w:val="Hyperlink"/>
                <w:sz w:val="22"/>
              </w:rPr>
              <w:t>Serviços</w:t>
            </w:r>
          </w:hyperlink>
        </w:p>
      </w:tc>
      <w:tc>
        <w:tcPr>
          <w:tcW w:w="270" w:type="dxa"/>
          <w:tcBorders>
            <w:top w:val="nil"/>
            <w:bottom w:val="nil"/>
          </w:tcBorders>
          <w:vAlign w:val="center"/>
        </w:tcPr>
        <w:p w14:paraId="5133B46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80305" w:rsidRPr="00C76DF3" w:rsidRDefault="00380305"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54B478A3" w14:textId="77777777" w:rsidR="00380305" w:rsidRPr="00C76DF3" w:rsidRDefault="0038030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80305" w:rsidRPr="00C76DF3" w:rsidRDefault="00380305" w:rsidP="00370875">
          <w:pPr>
            <w:pStyle w:val="ProductList-OfferingBody"/>
            <w:ind w:left="-72" w:right="-74"/>
            <w:jc w:val="center"/>
            <w:rPr>
              <w:color w:val="808080" w:themeColor="background1" w:themeShade="80"/>
              <w:sz w:val="14"/>
              <w:szCs w:val="14"/>
            </w:rPr>
          </w:pPr>
          <w:hyperlink w:anchor="Índice remissivo" w:history="1">
            <w:r>
              <w:rPr>
                <w:rStyle w:val="Hyperlink"/>
                <w:sz w:val="14"/>
                <w:szCs w:val="14"/>
              </w:rPr>
              <w:t>Índice remissivo</w:t>
            </w:r>
          </w:hyperlink>
        </w:p>
      </w:tc>
    </w:tr>
  </w:tbl>
  <w:p w14:paraId="79D1A8DC" w14:textId="77777777" w:rsidR="00380305" w:rsidRDefault="0038030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01188D70" w14:textId="77777777" w:rsidTr="00E244C6">
      <w:tc>
        <w:tcPr>
          <w:tcW w:w="1975" w:type="dxa"/>
          <w:shd w:val="clear" w:color="auto" w:fill="F2F2F2"/>
          <w:vAlign w:val="center"/>
        </w:tcPr>
        <w:p w14:paraId="25FD500D"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01F4CB7B"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272EEF79"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4EA5BADE"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FEB32F"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342CF86D"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434C15"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7CCA9D56"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402F909" w14:textId="1775EE61"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5F6B9E3" w14:textId="77777777" w:rsidR="00E244C6" w:rsidRPr="007D49D9" w:rsidRDefault="00E244C6" w:rsidP="00E244C6">
    <w:pPr>
      <w:pStyle w:val="ProductList-Body"/>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137C7427" w14:textId="77777777" w:rsidTr="00674FD5">
      <w:tc>
        <w:tcPr>
          <w:tcW w:w="1975" w:type="dxa"/>
          <w:shd w:val="clear" w:color="auto" w:fill="F2F2F2"/>
          <w:vAlign w:val="center"/>
        </w:tcPr>
        <w:p w14:paraId="621C83A9"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7AF3E20E"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93426FF"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60C904D6"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ACB7DDB"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0BA7F48E"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455DB5B1"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3710136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EC62B6A" w14:textId="294433CC"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880AC59" w14:textId="77777777" w:rsidR="00E244C6" w:rsidRPr="007D49D9" w:rsidRDefault="00E244C6" w:rsidP="00E244C6">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73C4F" w14:textId="77777777" w:rsidR="00A10C2F" w:rsidRDefault="00A10C2F" w:rsidP="009A573F">
      <w:pPr>
        <w:spacing w:after="0" w:line="240" w:lineRule="auto"/>
      </w:pPr>
      <w:r>
        <w:separator/>
      </w:r>
    </w:p>
    <w:p w14:paraId="35717186" w14:textId="77777777" w:rsidR="00A10C2F" w:rsidRDefault="00A10C2F"/>
    <w:p w14:paraId="5C1CFED0" w14:textId="77777777" w:rsidR="00A10C2F" w:rsidRDefault="00A10C2F"/>
    <w:p w14:paraId="5F68694C" w14:textId="77777777" w:rsidR="00A10C2F" w:rsidRDefault="00A10C2F"/>
    <w:p w14:paraId="439C6C7D" w14:textId="77777777" w:rsidR="00A10C2F" w:rsidRDefault="00A10C2F"/>
  </w:footnote>
  <w:footnote w:type="continuationSeparator" w:id="0">
    <w:p w14:paraId="4BF52D84" w14:textId="77777777" w:rsidR="00A10C2F" w:rsidRDefault="00A10C2F" w:rsidP="009A573F">
      <w:pPr>
        <w:spacing w:after="0" w:line="240" w:lineRule="auto"/>
      </w:pPr>
      <w:r>
        <w:continuationSeparator/>
      </w:r>
    </w:p>
    <w:p w14:paraId="17DFFB05" w14:textId="77777777" w:rsidR="00A10C2F" w:rsidRDefault="00A10C2F"/>
    <w:p w14:paraId="06ADAF09" w14:textId="77777777" w:rsidR="00A10C2F" w:rsidRDefault="00A10C2F"/>
    <w:p w14:paraId="502092EF" w14:textId="77777777" w:rsidR="00A10C2F" w:rsidRDefault="00A10C2F"/>
    <w:p w14:paraId="0CB1AA2D" w14:textId="77777777" w:rsidR="00A10C2F" w:rsidRDefault="00A10C2F"/>
  </w:footnote>
  <w:footnote w:type="continuationNotice" w:id="1">
    <w:p w14:paraId="4E10FFA8" w14:textId="77777777" w:rsidR="00A10C2F" w:rsidRDefault="00A10C2F">
      <w:pPr>
        <w:spacing w:after="0" w:line="240" w:lineRule="auto"/>
      </w:pPr>
    </w:p>
    <w:p w14:paraId="7D2CB688" w14:textId="77777777" w:rsidR="00A10C2F" w:rsidRDefault="00A10C2F"/>
    <w:p w14:paraId="37636BD4" w14:textId="77777777" w:rsidR="00A10C2F" w:rsidRDefault="00A10C2F"/>
    <w:p w14:paraId="7C2C778F" w14:textId="77777777" w:rsidR="00A10C2F" w:rsidRDefault="00A10C2F"/>
    <w:p w14:paraId="50F39718" w14:textId="77777777" w:rsidR="00A10C2F" w:rsidRDefault="00A10C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6B2F8DEA" w:rsidR="0038030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380305">
          <w:rPr>
            <w:sz w:val="16"/>
            <w:szCs w:val="16"/>
          </w:rPr>
          <w:t>Contrato de Nível de Serviço com Licenciamento em Volume da Microsoft para Serviços Online da Microsoft (Português de Portugal, 1</w:t>
        </w:r>
        <w:r w:rsidR="00CA623A">
          <w:rPr>
            <w:sz w:val="16"/>
            <w:szCs w:val="16"/>
          </w:rPr>
          <w:t>8</w:t>
        </w:r>
        <w:r w:rsidR="00380305">
          <w:rPr>
            <w:sz w:val="16"/>
            <w:szCs w:val="16"/>
          </w:rPr>
          <w:t xml:space="preserve"> de </w:t>
        </w:r>
        <w:r w:rsidR="00F66F7F">
          <w:rPr>
            <w:rFonts w:ascii="Calibri" w:hAnsi="Calibri" w:cs="Calibri"/>
            <w:sz w:val="16"/>
            <w:szCs w:val="16"/>
          </w:rPr>
          <w:t>novembro</w:t>
        </w:r>
        <w:r w:rsidR="00C801FD">
          <w:rPr>
            <w:rFonts w:ascii="Calibri" w:hAnsi="Calibri" w:cs="Calibri"/>
            <w:sz w:val="16"/>
            <w:szCs w:val="16"/>
          </w:rPr>
          <w:t xml:space="preserve"> </w:t>
        </w:r>
        <w:r w:rsidR="00DF12EB">
          <w:rPr>
            <w:rFonts w:ascii="Calibri" w:hAnsi="Calibri" w:cs="Calibri"/>
            <w:sz w:val="16"/>
            <w:szCs w:val="16"/>
          </w:rPr>
          <w:t>de 202</w:t>
        </w:r>
        <w:r w:rsidR="00D338CA">
          <w:rPr>
            <w:rFonts w:ascii="Calibri" w:hAnsi="Calibri" w:cs="Calibri"/>
            <w:sz w:val="16"/>
            <w:szCs w:val="16"/>
          </w:rPr>
          <w:t>5</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10</w:t>
        </w:r>
        <w:r w:rsidR="00380305">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2D04972B" w:rsidR="0038030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380305">
          <w:rPr>
            <w:sz w:val="16"/>
            <w:szCs w:val="16"/>
          </w:rPr>
          <w:t>Contrato de Nível de Serviço com Licenciamento em Volume da Microsoft para Serviços Online da Microsoft (Português de Portugal, 1</w:t>
        </w:r>
        <w:r w:rsidR="00CA623A">
          <w:rPr>
            <w:sz w:val="16"/>
            <w:szCs w:val="16"/>
          </w:rPr>
          <w:t>8</w:t>
        </w:r>
        <w:r w:rsidR="00380305">
          <w:rPr>
            <w:sz w:val="16"/>
            <w:szCs w:val="16"/>
          </w:rPr>
          <w:t xml:space="preserve"> de </w:t>
        </w:r>
        <w:r w:rsidR="00F66F7F">
          <w:rPr>
            <w:rFonts w:ascii="Calibri" w:hAnsi="Calibri" w:cs="Calibri"/>
            <w:sz w:val="16"/>
            <w:szCs w:val="16"/>
          </w:rPr>
          <w:t>novembro</w:t>
        </w:r>
        <w:r w:rsidR="000B1256">
          <w:rPr>
            <w:rFonts w:ascii="Calibri" w:hAnsi="Calibri" w:cs="Calibri"/>
            <w:sz w:val="16"/>
            <w:szCs w:val="16"/>
          </w:rPr>
          <w:t xml:space="preserve"> </w:t>
        </w:r>
        <w:r w:rsidR="00DF12EB">
          <w:rPr>
            <w:rFonts w:ascii="Calibri" w:hAnsi="Calibri" w:cs="Calibri"/>
            <w:sz w:val="16"/>
            <w:szCs w:val="16"/>
          </w:rPr>
          <w:t>de 202</w:t>
        </w:r>
        <w:r w:rsidR="00D338CA">
          <w:rPr>
            <w:rFonts w:ascii="Calibri" w:hAnsi="Calibri" w:cs="Calibri"/>
            <w:sz w:val="16"/>
            <w:szCs w:val="16"/>
          </w:rPr>
          <w:t>5</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2</w:t>
        </w:r>
        <w:r w:rsidR="0038030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898C453A">
      <w:start w:val="1"/>
      <w:numFmt w:val="bullet"/>
      <w:lvlText w:val=""/>
      <w:lvlJc w:val="left"/>
      <w:pPr>
        <w:ind w:left="720" w:hanging="360"/>
      </w:pPr>
      <w:rPr>
        <w:rFonts w:ascii="Symbol" w:hAnsi="Symbol" w:hint="default"/>
      </w:rPr>
    </w:lvl>
    <w:lvl w:ilvl="1" w:tplc="165C3F84" w:tentative="1">
      <w:start w:val="1"/>
      <w:numFmt w:val="bullet"/>
      <w:lvlText w:val="o"/>
      <w:lvlJc w:val="left"/>
      <w:pPr>
        <w:ind w:left="1440" w:hanging="360"/>
      </w:pPr>
      <w:rPr>
        <w:rFonts w:ascii="Courier New" w:hAnsi="Courier New" w:cs="Courier New" w:hint="default"/>
      </w:rPr>
    </w:lvl>
    <w:lvl w:ilvl="2" w:tplc="24C021B2" w:tentative="1">
      <w:start w:val="1"/>
      <w:numFmt w:val="bullet"/>
      <w:lvlText w:val=""/>
      <w:lvlJc w:val="left"/>
      <w:pPr>
        <w:ind w:left="2160" w:hanging="360"/>
      </w:pPr>
      <w:rPr>
        <w:rFonts w:ascii="Wingdings" w:hAnsi="Wingdings" w:hint="default"/>
      </w:rPr>
    </w:lvl>
    <w:lvl w:ilvl="3" w:tplc="F006BB6C" w:tentative="1">
      <w:start w:val="1"/>
      <w:numFmt w:val="bullet"/>
      <w:lvlText w:val=""/>
      <w:lvlJc w:val="left"/>
      <w:pPr>
        <w:ind w:left="2880" w:hanging="360"/>
      </w:pPr>
      <w:rPr>
        <w:rFonts w:ascii="Symbol" w:hAnsi="Symbol" w:hint="default"/>
      </w:rPr>
    </w:lvl>
    <w:lvl w:ilvl="4" w:tplc="92F682C0" w:tentative="1">
      <w:start w:val="1"/>
      <w:numFmt w:val="bullet"/>
      <w:lvlText w:val="o"/>
      <w:lvlJc w:val="left"/>
      <w:pPr>
        <w:ind w:left="3600" w:hanging="360"/>
      </w:pPr>
      <w:rPr>
        <w:rFonts w:ascii="Courier New" w:hAnsi="Courier New" w:cs="Courier New" w:hint="default"/>
      </w:rPr>
    </w:lvl>
    <w:lvl w:ilvl="5" w:tplc="6FD83E42" w:tentative="1">
      <w:start w:val="1"/>
      <w:numFmt w:val="bullet"/>
      <w:lvlText w:val=""/>
      <w:lvlJc w:val="left"/>
      <w:pPr>
        <w:ind w:left="4320" w:hanging="360"/>
      </w:pPr>
      <w:rPr>
        <w:rFonts w:ascii="Wingdings" w:hAnsi="Wingdings" w:hint="default"/>
      </w:rPr>
    </w:lvl>
    <w:lvl w:ilvl="6" w:tplc="BAE42BC0" w:tentative="1">
      <w:start w:val="1"/>
      <w:numFmt w:val="bullet"/>
      <w:lvlText w:val=""/>
      <w:lvlJc w:val="left"/>
      <w:pPr>
        <w:ind w:left="5040" w:hanging="360"/>
      </w:pPr>
      <w:rPr>
        <w:rFonts w:ascii="Symbol" w:hAnsi="Symbol" w:hint="default"/>
      </w:rPr>
    </w:lvl>
    <w:lvl w:ilvl="7" w:tplc="ABA0AB04" w:tentative="1">
      <w:start w:val="1"/>
      <w:numFmt w:val="bullet"/>
      <w:lvlText w:val="o"/>
      <w:lvlJc w:val="left"/>
      <w:pPr>
        <w:ind w:left="5760" w:hanging="360"/>
      </w:pPr>
      <w:rPr>
        <w:rFonts w:ascii="Courier New" w:hAnsi="Courier New" w:cs="Courier New" w:hint="default"/>
      </w:rPr>
    </w:lvl>
    <w:lvl w:ilvl="8" w:tplc="41DE5C62"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F280CFE">
      <w:start w:val="1"/>
      <w:numFmt w:val="bullet"/>
      <w:lvlText w:val=""/>
      <w:lvlJc w:val="left"/>
      <w:pPr>
        <w:ind w:left="720" w:hanging="360"/>
      </w:pPr>
      <w:rPr>
        <w:rFonts w:ascii="Symbol" w:hAnsi="Symbol" w:hint="default"/>
      </w:rPr>
    </w:lvl>
    <w:lvl w:ilvl="1" w:tplc="AB36B1F6" w:tentative="1">
      <w:start w:val="1"/>
      <w:numFmt w:val="bullet"/>
      <w:lvlText w:val="o"/>
      <w:lvlJc w:val="left"/>
      <w:pPr>
        <w:ind w:left="1440" w:hanging="360"/>
      </w:pPr>
      <w:rPr>
        <w:rFonts w:ascii="Courier New" w:hAnsi="Courier New" w:cs="Courier New" w:hint="default"/>
      </w:rPr>
    </w:lvl>
    <w:lvl w:ilvl="2" w:tplc="A9B04EFC" w:tentative="1">
      <w:start w:val="1"/>
      <w:numFmt w:val="bullet"/>
      <w:lvlText w:val=""/>
      <w:lvlJc w:val="left"/>
      <w:pPr>
        <w:ind w:left="2160" w:hanging="360"/>
      </w:pPr>
      <w:rPr>
        <w:rFonts w:ascii="Wingdings" w:hAnsi="Wingdings" w:hint="default"/>
      </w:rPr>
    </w:lvl>
    <w:lvl w:ilvl="3" w:tplc="71E28C72" w:tentative="1">
      <w:start w:val="1"/>
      <w:numFmt w:val="bullet"/>
      <w:lvlText w:val=""/>
      <w:lvlJc w:val="left"/>
      <w:pPr>
        <w:ind w:left="2880" w:hanging="360"/>
      </w:pPr>
      <w:rPr>
        <w:rFonts w:ascii="Symbol" w:hAnsi="Symbol" w:hint="default"/>
      </w:rPr>
    </w:lvl>
    <w:lvl w:ilvl="4" w:tplc="9210D430" w:tentative="1">
      <w:start w:val="1"/>
      <w:numFmt w:val="bullet"/>
      <w:lvlText w:val="o"/>
      <w:lvlJc w:val="left"/>
      <w:pPr>
        <w:ind w:left="3600" w:hanging="360"/>
      </w:pPr>
      <w:rPr>
        <w:rFonts w:ascii="Courier New" w:hAnsi="Courier New" w:cs="Courier New" w:hint="default"/>
      </w:rPr>
    </w:lvl>
    <w:lvl w:ilvl="5" w:tplc="EDC66D2C" w:tentative="1">
      <w:start w:val="1"/>
      <w:numFmt w:val="bullet"/>
      <w:lvlText w:val=""/>
      <w:lvlJc w:val="left"/>
      <w:pPr>
        <w:ind w:left="4320" w:hanging="360"/>
      </w:pPr>
      <w:rPr>
        <w:rFonts w:ascii="Wingdings" w:hAnsi="Wingdings" w:hint="default"/>
      </w:rPr>
    </w:lvl>
    <w:lvl w:ilvl="6" w:tplc="9D08D09E" w:tentative="1">
      <w:start w:val="1"/>
      <w:numFmt w:val="bullet"/>
      <w:lvlText w:val=""/>
      <w:lvlJc w:val="left"/>
      <w:pPr>
        <w:ind w:left="5040" w:hanging="360"/>
      </w:pPr>
      <w:rPr>
        <w:rFonts w:ascii="Symbol" w:hAnsi="Symbol" w:hint="default"/>
      </w:rPr>
    </w:lvl>
    <w:lvl w:ilvl="7" w:tplc="BF34C278" w:tentative="1">
      <w:start w:val="1"/>
      <w:numFmt w:val="bullet"/>
      <w:lvlText w:val="o"/>
      <w:lvlJc w:val="left"/>
      <w:pPr>
        <w:ind w:left="5760" w:hanging="360"/>
      </w:pPr>
      <w:rPr>
        <w:rFonts w:ascii="Courier New" w:hAnsi="Courier New" w:cs="Courier New" w:hint="default"/>
      </w:rPr>
    </w:lvl>
    <w:lvl w:ilvl="8" w:tplc="EC5AE762"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0548D5C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3586245"/>
    <w:multiLevelType w:val="hybridMultilevel"/>
    <w:tmpl w:val="87B6B078"/>
    <w:lvl w:ilvl="0" w:tplc="B1E66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70748619">
    <w:abstractNumId w:val="48"/>
  </w:num>
  <w:num w:numId="2" w16cid:durableId="676343050">
    <w:abstractNumId w:val="29"/>
  </w:num>
  <w:num w:numId="3" w16cid:durableId="2083674415">
    <w:abstractNumId w:val="18"/>
  </w:num>
  <w:num w:numId="4" w16cid:durableId="1914269571">
    <w:abstractNumId w:val="42"/>
  </w:num>
  <w:num w:numId="5" w16cid:durableId="1464036894">
    <w:abstractNumId w:val="1"/>
  </w:num>
  <w:num w:numId="6" w16cid:durableId="906037492">
    <w:abstractNumId w:val="37"/>
  </w:num>
  <w:num w:numId="7" w16cid:durableId="1811287243">
    <w:abstractNumId w:val="26"/>
  </w:num>
  <w:num w:numId="8" w16cid:durableId="429815562">
    <w:abstractNumId w:val="36"/>
  </w:num>
  <w:num w:numId="9" w16cid:durableId="1212421484">
    <w:abstractNumId w:val="31"/>
  </w:num>
  <w:num w:numId="10" w16cid:durableId="1152136060">
    <w:abstractNumId w:val="6"/>
  </w:num>
  <w:num w:numId="11" w16cid:durableId="1067146794">
    <w:abstractNumId w:val="5"/>
  </w:num>
  <w:num w:numId="12" w16cid:durableId="1020010598">
    <w:abstractNumId w:val="9"/>
  </w:num>
  <w:num w:numId="13" w16cid:durableId="1077895288">
    <w:abstractNumId w:val="51"/>
  </w:num>
  <w:num w:numId="14" w16cid:durableId="1474054354">
    <w:abstractNumId w:val="44"/>
  </w:num>
  <w:num w:numId="15" w16cid:durableId="662391398">
    <w:abstractNumId w:val="20"/>
  </w:num>
  <w:num w:numId="16" w16cid:durableId="1356925131">
    <w:abstractNumId w:val="28"/>
  </w:num>
  <w:num w:numId="17" w16cid:durableId="1457677005">
    <w:abstractNumId w:val="30"/>
  </w:num>
  <w:num w:numId="18" w16cid:durableId="557277237">
    <w:abstractNumId w:val="45"/>
  </w:num>
  <w:num w:numId="19" w16cid:durableId="1397781744">
    <w:abstractNumId w:val="8"/>
  </w:num>
  <w:num w:numId="20" w16cid:durableId="624628384">
    <w:abstractNumId w:val="14"/>
  </w:num>
  <w:num w:numId="21" w16cid:durableId="608202475">
    <w:abstractNumId w:val="27"/>
  </w:num>
  <w:num w:numId="22" w16cid:durableId="713969676">
    <w:abstractNumId w:val="24"/>
  </w:num>
  <w:num w:numId="23" w16cid:durableId="1203635">
    <w:abstractNumId w:val="25"/>
  </w:num>
  <w:num w:numId="24" w16cid:durableId="1898273707">
    <w:abstractNumId w:val="43"/>
  </w:num>
  <w:num w:numId="25" w16cid:durableId="6060108">
    <w:abstractNumId w:val="0"/>
  </w:num>
  <w:num w:numId="26" w16cid:durableId="775716256">
    <w:abstractNumId w:val="3"/>
  </w:num>
  <w:num w:numId="27" w16cid:durableId="297148162">
    <w:abstractNumId w:val="22"/>
  </w:num>
  <w:num w:numId="28" w16cid:durableId="799112112">
    <w:abstractNumId w:val="50"/>
  </w:num>
  <w:num w:numId="29" w16cid:durableId="1450396582">
    <w:abstractNumId w:val="16"/>
  </w:num>
  <w:num w:numId="30" w16cid:durableId="22051518">
    <w:abstractNumId w:val="19"/>
  </w:num>
  <w:num w:numId="31" w16cid:durableId="1592009437">
    <w:abstractNumId w:val="10"/>
  </w:num>
  <w:num w:numId="32" w16cid:durableId="1199732938">
    <w:abstractNumId w:val="21"/>
  </w:num>
  <w:num w:numId="33" w16cid:durableId="228729692">
    <w:abstractNumId w:val="15"/>
  </w:num>
  <w:num w:numId="34" w16cid:durableId="2094277879">
    <w:abstractNumId w:val="34"/>
  </w:num>
  <w:num w:numId="35" w16cid:durableId="484781895">
    <w:abstractNumId w:val="13"/>
  </w:num>
  <w:num w:numId="36" w16cid:durableId="3942838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855008">
    <w:abstractNumId w:val="41"/>
  </w:num>
  <w:num w:numId="38" w16cid:durableId="1097016701">
    <w:abstractNumId w:val="40"/>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1365448681">
    <w:abstractNumId w:val="11"/>
  </w:num>
  <w:num w:numId="47" w16cid:durableId="2045056853">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FsqpW19F6OWUuFTVXx//E35IFBN8lxndS/k4oun6BNL7+zjuubMt6iKhwAsMAUJQhcIqC3bsjMjL7iAM3g/zyA==" w:salt="1MUBFFlygLQJ6KnRiC0D6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989"/>
    <w:rsid w:val="00002CD6"/>
    <w:rsid w:val="00003307"/>
    <w:rsid w:val="00003FD2"/>
    <w:rsid w:val="0000417A"/>
    <w:rsid w:val="00004697"/>
    <w:rsid w:val="00004BE2"/>
    <w:rsid w:val="000056F6"/>
    <w:rsid w:val="00006365"/>
    <w:rsid w:val="00006EDC"/>
    <w:rsid w:val="00007391"/>
    <w:rsid w:val="0000793E"/>
    <w:rsid w:val="00007E40"/>
    <w:rsid w:val="000106A8"/>
    <w:rsid w:val="00010930"/>
    <w:rsid w:val="00010E6D"/>
    <w:rsid w:val="00011653"/>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075"/>
    <w:rsid w:val="00017346"/>
    <w:rsid w:val="00017C88"/>
    <w:rsid w:val="000201CE"/>
    <w:rsid w:val="000211C1"/>
    <w:rsid w:val="0002120A"/>
    <w:rsid w:val="0002129B"/>
    <w:rsid w:val="0002175D"/>
    <w:rsid w:val="00021B59"/>
    <w:rsid w:val="00021C99"/>
    <w:rsid w:val="00021F08"/>
    <w:rsid w:val="000223BC"/>
    <w:rsid w:val="000228B0"/>
    <w:rsid w:val="00024B72"/>
    <w:rsid w:val="00024FE1"/>
    <w:rsid w:val="00025477"/>
    <w:rsid w:val="00025908"/>
    <w:rsid w:val="0002605D"/>
    <w:rsid w:val="00026DDE"/>
    <w:rsid w:val="000270A4"/>
    <w:rsid w:val="0002719C"/>
    <w:rsid w:val="00031223"/>
    <w:rsid w:val="00031662"/>
    <w:rsid w:val="00032082"/>
    <w:rsid w:val="0003269D"/>
    <w:rsid w:val="00032DD0"/>
    <w:rsid w:val="000331B9"/>
    <w:rsid w:val="000346AC"/>
    <w:rsid w:val="00034D3B"/>
    <w:rsid w:val="000357C5"/>
    <w:rsid w:val="00035F22"/>
    <w:rsid w:val="00036242"/>
    <w:rsid w:val="0003651D"/>
    <w:rsid w:val="00040120"/>
    <w:rsid w:val="000401F7"/>
    <w:rsid w:val="00040759"/>
    <w:rsid w:val="00040878"/>
    <w:rsid w:val="0004094B"/>
    <w:rsid w:val="00040AB1"/>
    <w:rsid w:val="00040DA8"/>
    <w:rsid w:val="00041620"/>
    <w:rsid w:val="00041E0A"/>
    <w:rsid w:val="00042CC1"/>
    <w:rsid w:val="00042DC2"/>
    <w:rsid w:val="00043712"/>
    <w:rsid w:val="000438F9"/>
    <w:rsid w:val="00043BAC"/>
    <w:rsid w:val="00044317"/>
    <w:rsid w:val="00045168"/>
    <w:rsid w:val="00045C64"/>
    <w:rsid w:val="0004685C"/>
    <w:rsid w:val="000469DE"/>
    <w:rsid w:val="00047018"/>
    <w:rsid w:val="000476AA"/>
    <w:rsid w:val="00047DC7"/>
    <w:rsid w:val="00050163"/>
    <w:rsid w:val="000506C5"/>
    <w:rsid w:val="00050BC6"/>
    <w:rsid w:val="000514F4"/>
    <w:rsid w:val="0005158E"/>
    <w:rsid w:val="00052115"/>
    <w:rsid w:val="000521B5"/>
    <w:rsid w:val="00052E1C"/>
    <w:rsid w:val="00053629"/>
    <w:rsid w:val="00053691"/>
    <w:rsid w:val="00053D7E"/>
    <w:rsid w:val="00053FEF"/>
    <w:rsid w:val="000541DB"/>
    <w:rsid w:val="0005465C"/>
    <w:rsid w:val="00054762"/>
    <w:rsid w:val="00055772"/>
    <w:rsid w:val="00056265"/>
    <w:rsid w:val="000562B9"/>
    <w:rsid w:val="00056522"/>
    <w:rsid w:val="0005666E"/>
    <w:rsid w:val="00056767"/>
    <w:rsid w:val="00056D89"/>
    <w:rsid w:val="00056FAF"/>
    <w:rsid w:val="00057D38"/>
    <w:rsid w:val="00057D82"/>
    <w:rsid w:val="000602B4"/>
    <w:rsid w:val="00060BB6"/>
    <w:rsid w:val="00060F59"/>
    <w:rsid w:val="00061075"/>
    <w:rsid w:val="0006109B"/>
    <w:rsid w:val="0006114A"/>
    <w:rsid w:val="00061A8B"/>
    <w:rsid w:val="00061F6E"/>
    <w:rsid w:val="00063633"/>
    <w:rsid w:val="000642C3"/>
    <w:rsid w:val="00067286"/>
    <w:rsid w:val="0006740A"/>
    <w:rsid w:val="000676B3"/>
    <w:rsid w:val="0006787D"/>
    <w:rsid w:val="00067B4B"/>
    <w:rsid w:val="000710A6"/>
    <w:rsid w:val="00071A79"/>
    <w:rsid w:val="00071C2C"/>
    <w:rsid w:val="0007363B"/>
    <w:rsid w:val="00073F3C"/>
    <w:rsid w:val="0007491F"/>
    <w:rsid w:val="00075137"/>
    <w:rsid w:val="0007551D"/>
    <w:rsid w:val="00075561"/>
    <w:rsid w:val="000756A2"/>
    <w:rsid w:val="00075BBB"/>
    <w:rsid w:val="00076CC4"/>
    <w:rsid w:val="00076D26"/>
    <w:rsid w:val="00077286"/>
    <w:rsid w:val="000776AB"/>
    <w:rsid w:val="0007788F"/>
    <w:rsid w:val="000779FD"/>
    <w:rsid w:val="00077A6B"/>
    <w:rsid w:val="000805F3"/>
    <w:rsid w:val="00081149"/>
    <w:rsid w:val="00081380"/>
    <w:rsid w:val="00081B1C"/>
    <w:rsid w:val="00081CA7"/>
    <w:rsid w:val="0008293B"/>
    <w:rsid w:val="00082AA8"/>
    <w:rsid w:val="0008307A"/>
    <w:rsid w:val="00083564"/>
    <w:rsid w:val="00083FE8"/>
    <w:rsid w:val="00084635"/>
    <w:rsid w:val="00084C5A"/>
    <w:rsid w:val="00085833"/>
    <w:rsid w:val="00085A0D"/>
    <w:rsid w:val="00085CEE"/>
    <w:rsid w:val="00085D21"/>
    <w:rsid w:val="000872EB"/>
    <w:rsid w:val="00087BC2"/>
    <w:rsid w:val="00087DB8"/>
    <w:rsid w:val="00087E64"/>
    <w:rsid w:val="000900F7"/>
    <w:rsid w:val="00090E7C"/>
    <w:rsid w:val="000915D5"/>
    <w:rsid w:val="0009164C"/>
    <w:rsid w:val="000918AB"/>
    <w:rsid w:val="00092062"/>
    <w:rsid w:val="00092257"/>
    <w:rsid w:val="000933AB"/>
    <w:rsid w:val="00094E0B"/>
    <w:rsid w:val="000953A4"/>
    <w:rsid w:val="00095673"/>
    <w:rsid w:val="0009588E"/>
    <w:rsid w:val="0009720F"/>
    <w:rsid w:val="000972B6"/>
    <w:rsid w:val="000972E7"/>
    <w:rsid w:val="000974C9"/>
    <w:rsid w:val="000A03D2"/>
    <w:rsid w:val="000A05E2"/>
    <w:rsid w:val="000A0AC7"/>
    <w:rsid w:val="000A0C63"/>
    <w:rsid w:val="000A0CD9"/>
    <w:rsid w:val="000A216A"/>
    <w:rsid w:val="000A2E8E"/>
    <w:rsid w:val="000A3AA1"/>
    <w:rsid w:val="000A57B7"/>
    <w:rsid w:val="000A5DC6"/>
    <w:rsid w:val="000A5FA1"/>
    <w:rsid w:val="000A6233"/>
    <w:rsid w:val="000A68A8"/>
    <w:rsid w:val="000A6F07"/>
    <w:rsid w:val="000A7E41"/>
    <w:rsid w:val="000B0114"/>
    <w:rsid w:val="000B02C9"/>
    <w:rsid w:val="000B098B"/>
    <w:rsid w:val="000B09BD"/>
    <w:rsid w:val="000B0EE9"/>
    <w:rsid w:val="000B1256"/>
    <w:rsid w:val="000B143A"/>
    <w:rsid w:val="000B1561"/>
    <w:rsid w:val="000B2005"/>
    <w:rsid w:val="000B24EC"/>
    <w:rsid w:val="000B2C97"/>
    <w:rsid w:val="000B2E2F"/>
    <w:rsid w:val="000B2E8C"/>
    <w:rsid w:val="000B38CA"/>
    <w:rsid w:val="000B7F4B"/>
    <w:rsid w:val="000C0007"/>
    <w:rsid w:val="000C0156"/>
    <w:rsid w:val="000C0331"/>
    <w:rsid w:val="000C03EC"/>
    <w:rsid w:val="000C05C9"/>
    <w:rsid w:val="000C0ACA"/>
    <w:rsid w:val="000C13D4"/>
    <w:rsid w:val="000C15FB"/>
    <w:rsid w:val="000C1785"/>
    <w:rsid w:val="000C1AEC"/>
    <w:rsid w:val="000C2CAE"/>
    <w:rsid w:val="000C3BE3"/>
    <w:rsid w:val="000C457F"/>
    <w:rsid w:val="000C4BD0"/>
    <w:rsid w:val="000C4CD3"/>
    <w:rsid w:val="000C5AF3"/>
    <w:rsid w:val="000C5BE8"/>
    <w:rsid w:val="000C6732"/>
    <w:rsid w:val="000C67DE"/>
    <w:rsid w:val="000C688A"/>
    <w:rsid w:val="000C79C9"/>
    <w:rsid w:val="000C7D2A"/>
    <w:rsid w:val="000D1B93"/>
    <w:rsid w:val="000D29F0"/>
    <w:rsid w:val="000D2AE0"/>
    <w:rsid w:val="000D2BDB"/>
    <w:rsid w:val="000D41C7"/>
    <w:rsid w:val="000D4219"/>
    <w:rsid w:val="000D47D0"/>
    <w:rsid w:val="000D4A08"/>
    <w:rsid w:val="000D51B2"/>
    <w:rsid w:val="000D5314"/>
    <w:rsid w:val="000D5752"/>
    <w:rsid w:val="000D5A78"/>
    <w:rsid w:val="000D5E17"/>
    <w:rsid w:val="000D6060"/>
    <w:rsid w:val="000D635C"/>
    <w:rsid w:val="000D64BE"/>
    <w:rsid w:val="000D693B"/>
    <w:rsid w:val="000D71BE"/>
    <w:rsid w:val="000D7418"/>
    <w:rsid w:val="000D7CD0"/>
    <w:rsid w:val="000E08C0"/>
    <w:rsid w:val="000E0CD6"/>
    <w:rsid w:val="000E1DEC"/>
    <w:rsid w:val="000E2113"/>
    <w:rsid w:val="000E2DFF"/>
    <w:rsid w:val="000E2E0F"/>
    <w:rsid w:val="000E3C0B"/>
    <w:rsid w:val="000E4FED"/>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30"/>
    <w:rsid w:val="000F41E8"/>
    <w:rsid w:val="000F4E13"/>
    <w:rsid w:val="000F56C8"/>
    <w:rsid w:val="001000C6"/>
    <w:rsid w:val="001009D4"/>
    <w:rsid w:val="001012EB"/>
    <w:rsid w:val="00101342"/>
    <w:rsid w:val="00101E5B"/>
    <w:rsid w:val="001040A6"/>
    <w:rsid w:val="00104DBC"/>
    <w:rsid w:val="0010585C"/>
    <w:rsid w:val="0010587C"/>
    <w:rsid w:val="00105B4C"/>
    <w:rsid w:val="00105D51"/>
    <w:rsid w:val="00106C29"/>
    <w:rsid w:val="00107441"/>
    <w:rsid w:val="001079F6"/>
    <w:rsid w:val="00107EFC"/>
    <w:rsid w:val="00107F31"/>
    <w:rsid w:val="001100E3"/>
    <w:rsid w:val="00110BAD"/>
    <w:rsid w:val="00110FE2"/>
    <w:rsid w:val="00111408"/>
    <w:rsid w:val="00111A7A"/>
    <w:rsid w:val="00111C8E"/>
    <w:rsid w:val="00111C9C"/>
    <w:rsid w:val="00111EE9"/>
    <w:rsid w:val="00112A23"/>
    <w:rsid w:val="0011309F"/>
    <w:rsid w:val="00113A89"/>
    <w:rsid w:val="00113B71"/>
    <w:rsid w:val="00114B26"/>
    <w:rsid w:val="001151EF"/>
    <w:rsid w:val="001155F9"/>
    <w:rsid w:val="00115987"/>
    <w:rsid w:val="00117AFF"/>
    <w:rsid w:val="001205C6"/>
    <w:rsid w:val="00120CC2"/>
    <w:rsid w:val="00122CF3"/>
    <w:rsid w:val="00122D3E"/>
    <w:rsid w:val="00122DB6"/>
    <w:rsid w:val="00122F40"/>
    <w:rsid w:val="001235AF"/>
    <w:rsid w:val="00123ABC"/>
    <w:rsid w:val="0012403F"/>
    <w:rsid w:val="001242BA"/>
    <w:rsid w:val="00124F73"/>
    <w:rsid w:val="00125081"/>
    <w:rsid w:val="001250CC"/>
    <w:rsid w:val="00125581"/>
    <w:rsid w:val="00125CBE"/>
    <w:rsid w:val="00125F0C"/>
    <w:rsid w:val="00126263"/>
    <w:rsid w:val="00126886"/>
    <w:rsid w:val="001268E5"/>
    <w:rsid w:val="001269CA"/>
    <w:rsid w:val="00126DC2"/>
    <w:rsid w:val="00127510"/>
    <w:rsid w:val="00127C5F"/>
    <w:rsid w:val="001320C2"/>
    <w:rsid w:val="00132982"/>
    <w:rsid w:val="00132A99"/>
    <w:rsid w:val="0013320F"/>
    <w:rsid w:val="001344BF"/>
    <w:rsid w:val="001345FE"/>
    <w:rsid w:val="0013474F"/>
    <w:rsid w:val="00134DA1"/>
    <w:rsid w:val="00134EF8"/>
    <w:rsid w:val="00135786"/>
    <w:rsid w:val="00136452"/>
    <w:rsid w:val="001364FA"/>
    <w:rsid w:val="00136599"/>
    <w:rsid w:val="0013659B"/>
    <w:rsid w:val="00136A62"/>
    <w:rsid w:val="001372AB"/>
    <w:rsid w:val="00137741"/>
    <w:rsid w:val="00137E59"/>
    <w:rsid w:val="00140900"/>
    <w:rsid w:val="00140A95"/>
    <w:rsid w:val="0014192B"/>
    <w:rsid w:val="00141936"/>
    <w:rsid w:val="00141C86"/>
    <w:rsid w:val="00141CAD"/>
    <w:rsid w:val="00141F07"/>
    <w:rsid w:val="00142BC8"/>
    <w:rsid w:val="001439A9"/>
    <w:rsid w:val="00144735"/>
    <w:rsid w:val="00144A5E"/>
    <w:rsid w:val="00146E03"/>
    <w:rsid w:val="00147224"/>
    <w:rsid w:val="001472FC"/>
    <w:rsid w:val="001479F5"/>
    <w:rsid w:val="00150F54"/>
    <w:rsid w:val="00151002"/>
    <w:rsid w:val="001517E0"/>
    <w:rsid w:val="001525A3"/>
    <w:rsid w:val="00153021"/>
    <w:rsid w:val="0015371D"/>
    <w:rsid w:val="00153A22"/>
    <w:rsid w:val="0015445A"/>
    <w:rsid w:val="001560B4"/>
    <w:rsid w:val="00156234"/>
    <w:rsid w:val="00156C1C"/>
    <w:rsid w:val="001571CB"/>
    <w:rsid w:val="00157240"/>
    <w:rsid w:val="0015746B"/>
    <w:rsid w:val="0015785C"/>
    <w:rsid w:val="001602AC"/>
    <w:rsid w:val="001602F8"/>
    <w:rsid w:val="00160676"/>
    <w:rsid w:val="001606C9"/>
    <w:rsid w:val="00160F75"/>
    <w:rsid w:val="001613A3"/>
    <w:rsid w:val="0016181D"/>
    <w:rsid w:val="00161EBB"/>
    <w:rsid w:val="00161F35"/>
    <w:rsid w:val="00163053"/>
    <w:rsid w:val="00164026"/>
    <w:rsid w:val="00165138"/>
    <w:rsid w:val="00165962"/>
    <w:rsid w:val="00165C82"/>
    <w:rsid w:val="00165F81"/>
    <w:rsid w:val="00166039"/>
    <w:rsid w:val="001667A8"/>
    <w:rsid w:val="00166978"/>
    <w:rsid w:val="00166E69"/>
    <w:rsid w:val="00167128"/>
    <w:rsid w:val="00167443"/>
    <w:rsid w:val="001675DF"/>
    <w:rsid w:val="00167E37"/>
    <w:rsid w:val="00170401"/>
    <w:rsid w:val="0017060C"/>
    <w:rsid w:val="001706E2"/>
    <w:rsid w:val="00170FD9"/>
    <w:rsid w:val="00172102"/>
    <w:rsid w:val="001722E6"/>
    <w:rsid w:val="00172BF0"/>
    <w:rsid w:val="00173623"/>
    <w:rsid w:val="00173870"/>
    <w:rsid w:val="00173EC5"/>
    <w:rsid w:val="00174388"/>
    <w:rsid w:val="00174C82"/>
    <w:rsid w:val="00174EEE"/>
    <w:rsid w:val="00175814"/>
    <w:rsid w:val="00175C81"/>
    <w:rsid w:val="0017786C"/>
    <w:rsid w:val="00177934"/>
    <w:rsid w:val="0018185B"/>
    <w:rsid w:val="001821F6"/>
    <w:rsid w:val="0018257C"/>
    <w:rsid w:val="00182B87"/>
    <w:rsid w:val="00183408"/>
    <w:rsid w:val="001834DE"/>
    <w:rsid w:val="00183579"/>
    <w:rsid w:val="001837C8"/>
    <w:rsid w:val="001838D6"/>
    <w:rsid w:val="00185431"/>
    <w:rsid w:val="00185EA5"/>
    <w:rsid w:val="0018615A"/>
    <w:rsid w:val="00186295"/>
    <w:rsid w:val="001864DD"/>
    <w:rsid w:val="00187D50"/>
    <w:rsid w:val="00187E87"/>
    <w:rsid w:val="001901DC"/>
    <w:rsid w:val="001909EC"/>
    <w:rsid w:val="00193F9D"/>
    <w:rsid w:val="00194219"/>
    <w:rsid w:val="00194B97"/>
    <w:rsid w:val="001963CD"/>
    <w:rsid w:val="00196B1B"/>
    <w:rsid w:val="00197620"/>
    <w:rsid w:val="00197FAD"/>
    <w:rsid w:val="001A0074"/>
    <w:rsid w:val="001A0977"/>
    <w:rsid w:val="001A1704"/>
    <w:rsid w:val="001A278B"/>
    <w:rsid w:val="001A2B56"/>
    <w:rsid w:val="001A3566"/>
    <w:rsid w:val="001A3EF1"/>
    <w:rsid w:val="001A4520"/>
    <w:rsid w:val="001A49C2"/>
    <w:rsid w:val="001A5E18"/>
    <w:rsid w:val="001A6663"/>
    <w:rsid w:val="001A750E"/>
    <w:rsid w:val="001A75A3"/>
    <w:rsid w:val="001A7BFE"/>
    <w:rsid w:val="001A7EE4"/>
    <w:rsid w:val="001B020C"/>
    <w:rsid w:val="001B02CF"/>
    <w:rsid w:val="001B07B6"/>
    <w:rsid w:val="001B0807"/>
    <w:rsid w:val="001B0E4C"/>
    <w:rsid w:val="001B16F3"/>
    <w:rsid w:val="001B25E0"/>
    <w:rsid w:val="001B2CF6"/>
    <w:rsid w:val="001B351E"/>
    <w:rsid w:val="001B36EE"/>
    <w:rsid w:val="001B3FEB"/>
    <w:rsid w:val="001B44F9"/>
    <w:rsid w:val="001B4F20"/>
    <w:rsid w:val="001B7180"/>
    <w:rsid w:val="001B72D8"/>
    <w:rsid w:val="001C09BD"/>
    <w:rsid w:val="001C1F84"/>
    <w:rsid w:val="001C20E7"/>
    <w:rsid w:val="001C3EDC"/>
    <w:rsid w:val="001C3F2C"/>
    <w:rsid w:val="001C41EA"/>
    <w:rsid w:val="001C576E"/>
    <w:rsid w:val="001C6108"/>
    <w:rsid w:val="001C62ED"/>
    <w:rsid w:val="001C6B3E"/>
    <w:rsid w:val="001C6F6A"/>
    <w:rsid w:val="001C72B8"/>
    <w:rsid w:val="001C73B5"/>
    <w:rsid w:val="001C7C14"/>
    <w:rsid w:val="001D0765"/>
    <w:rsid w:val="001D092B"/>
    <w:rsid w:val="001D0B2A"/>
    <w:rsid w:val="001D0B44"/>
    <w:rsid w:val="001D1AA6"/>
    <w:rsid w:val="001D1C2C"/>
    <w:rsid w:val="001D286D"/>
    <w:rsid w:val="001D2A76"/>
    <w:rsid w:val="001D2D1E"/>
    <w:rsid w:val="001D3166"/>
    <w:rsid w:val="001D4537"/>
    <w:rsid w:val="001D494D"/>
    <w:rsid w:val="001D4B6B"/>
    <w:rsid w:val="001D60FE"/>
    <w:rsid w:val="001D62E3"/>
    <w:rsid w:val="001D6A79"/>
    <w:rsid w:val="001D70B9"/>
    <w:rsid w:val="001D7C37"/>
    <w:rsid w:val="001E02A1"/>
    <w:rsid w:val="001E0407"/>
    <w:rsid w:val="001E08BA"/>
    <w:rsid w:val="001E0CE1"/>
    <w:rsid w:val="001E297D"/>
    <w:rsid w:val="001E32A0"/>
    <w:rsid w:val="001E3678"/>
    <w:rsid w:val="001E3855"/>
    <w:rsid w:val="001E4175"/>
    <w:rsid w:val="001E471E"/>
    <w:rsid w:val="001E5012"/>
    <w:rsid w:val="001E507D"/>
    <w:rsid w:val="001E5C50"/>
    <w:rsid w:val="001E5E37"/>
    <w:rsid w:val="001E603D"/>
    <w:rsid w:val="001E6724"/>
    <w:rsid w:val="001E6C5D"/>
    <w:rsid w:val="001E74BD"/>
    <w:rsid w:val="001F028E"/>
    <w:rsid w:val="001F0AF4"/>
    <w:rsid w:val="001F163D"/>
    <w:rsid w:val="001F1EC1"/>
    <w:rsid w:val="001F243D"/>
    <w:rsid w:val="001F2480"/>
    <w:rsid w:val="001F2DDF"/>
    <w:rsid w:val="001F3215"/>
    <w:rsid w:val="001F3F1F"/>
    <w:rsid w:val="001F4069"/>
    <w:rsid w:val="001F474F"/>
    <w:rsid w:val="001F47DC"/>
    <w:rsid w:val="001F4990"/>
    <w:rsid w:val="001F4A2A"/>
    <w:rsid w:val="001F4C4C"/>
    <w:rsid w:val="001F4EFA"/>
    <w:rsid w:val="001F65F2"/>
    <w:rsid w:val="001F6675"/>
    <w:rsid w:val="001F738A"/>
    <w:rsid w:val="001F78A1"/>
    <w:rsid w:val="00200ABA"/>
    <w:rsid w:val="00200E38"/>
    <w:rsid w:val="002013EB"/>
    <w:rsid w:val="00202349"/>
    <w:rsid w:val="002024BF"/>
    <w:rsid w:val="00202C57"/>
    <w:rsid w:val="0020319C"/>
    <w:rsid w:val="002032CA"/>
    <w:rsid w:val="00203D8F"/>
    <w:rsid w:val="00203F6F"/>
    <w:rsid w:val="00204453"/>
    <w:rsid w:val="002049B2"/>
    <w:rsid w:val="002056B1"/>
    <w:rsid w:val="00205A59"/>
    <w:rsid w:val="00205BD0"/>
    <w:rsid w:val="00206C82"/>
    <w:rsid w:val="00207026"/>
    <w:rsid w:val="00207C2C"/>
    <w:rsid w:val="00207CF5"/>
    <w:rsid w:val="00210530"/>
    <w:rsid w:val="0021097F"/>
    <w:rsid w:val="002112F9"/>
    <w:rsid w:val="002117F9"/>
    <w:rsid w:val="00212A48"/>
    <w:rsid w:val="002130FB"/>
    <w:rsid w:val="002134AE"/>
    <w:rsid w:val="0021393A"/>
    <w:rsid w:val="002146DC"/>
    <w:rsid w:val="002152A2"/>
    <w:rsid w:val="00215536"/>
    <w:rsid w:val="00215E3B"/>
    <w:rsid w:val="002160E0"/>
    <w:rsid w:val="00216B4F"/>
    <w:rsid w:val="00216BE3"/>
    <w:rsid w:val="00216CAA"/>
    <w:rsid w:val="0021725E"/>
    <w:rsid w:val="00217724"/>
    <w:rsid w:val="002203AF"/>
    <w:rsid w:val="00220B38"/>
    <w:rsid w:val="002212EA"/>
    <w:rsid w:val="0022184B"/>
    <w:rsid w:val="002218A9"/>
    <w:rsid w:val="00221BE9"/>
    <w:rsid w:val="00221CBE"/>
    <w:rsid w:val="00222B23"/>
    <w:rsid w:val="002239BA"/>
    <w:rsid w:val="00224C54"/>
    <w:rsid w:val="002257C7"/>
    <w:rsid w:val="00225972"/>
    <w:rsid w:val="002263B6"/>
    <w:rsid w:val="002267F9"/>
    <w:rsid w:val="002270F9"/>
    <w:rsid w:val="00227978"/>
    <w:rsid w:val="00227E01"/>
    <w:rsid w:val="002315DB"/>
    <w:rsid w:val="002322BE"/>
    <w:rsid w:val="00233069"/>
    <w:rsid w:val="00233A1A"/>
    <w:rsid w:val="00233AE3"/>
    <w:rsid w:val="00233FBB"/>
    <w:rsid w:val="0023408A"/>
    <w:rsid w:val="0023411D"/>
    <w:rsid w:val="002346B6"/>
    <w:rsid w:val="0023539C"/>
    <w:rsid w:val="00235556"/>
    <w:rsid w:val="002355EB"/>
    <w:rsid w:val="00235B48"/>
    <w:rsid w:val="00235DB5"/>
    <w:rsid w:val="00236AEC"/>
    <w:rsid w:val="00237299"/>
    <w:rsid w:val="00237725"/>
    <w:rsid w:val="00237F16"/>
    <w:rsid w:val="00237F2E"/>
    <w:rsid w:val="0024012F"/>
    <w:rsid w:val="0024052C"/>
    <w:rsid w:val="00241D62"/>
    <w:rsid w:val="00241DE3"/>
    <w:rsid w:val="00241F8F"/>
    <w:rsid w:val="00241FA0"/>
    <w:rsid w:val="00242A7E"/>
    <w:rsid w:val="002435BF"/>
    <w:rsid w:val="00243D3D"/>
    <w:rsid w:val="002449E9"/>
    <w:rsid w:val="00244A42"/>
    <w:rsid w:val="00244E5E"/>
    <w:rsid w:val="00245C71"/>
    <w:rsid w:val="0024659B"/>
    <w:rsid w:val="0024684E"/>
    <w:rsid w:val="00246929"/>
    <w:rsid w:val="002473EB"/>
    <w:rsid w:val="0025012C"/>
    <w:rsid w:val="00250244"/>
    <w:rsid w:val="002502BF"/>
    <w:rsid w:val="00250620"/>
    <w:rsid w:val="00250B1B"/>
    <w:rsid w:val="00250C9F"/>
    <w:rsid w:val="0025267B"/>
    <w:rsid w:val="00252BD0"/>
    <w:rsid w:val="00253062"/>
    <w:rsid w:val="00253A62"/>
    <w:rsid w:val="002544D2"/>
    <w:rsid w:val="00254A27"/>
    <w:rsid w:val="00254C71"/>
    <w:rsid w:val="00254CA5"/>
    <w:rsid w:val="00254F58"/>
    <w:rsid w:val="00255553"/>
    <w:rsid w:val="00255BFC"/>
    <w:rsid w:val="00256320"/>
    <w:rsid w:val="00256F64"/>
    <w:rsid w:val="002575AB"/>
    <w:rsid w:val="002579E3"/>
    <w:rsid w:val="00257DDF"/>
    <w:rsid w:val="00257E7E"/>
    <w:rsid w:val="00260768"/>
    <w:rsid w:val="002609A0"/>
    <w:rsid w:val="00261F60"/>
    <w:rsid w:val="00262609"/>
    <w:rsid w:val="002634DC"/>
    <w:rsid w:val="00263D02"/>
    <w:rsid w:val="00264230"/>
    <w:rsid w:val="002647B9"/>
    <w:rsid w:val="00264BC1"/>
    <w:rsid w:val="00264F54"/>
    <w:rsid w:val="00265200"/>
    <w:rsid w:val="00265292"/>
    <w:rsid w:val="00266425"/>
    <w:rsid w:val="002664A1"/>
    <w:rsid w:val="00266EE8"/>
    <w:rsid w:val="00270341"/>
    <w:rsid w:val="00270CD4"/>
    <w:rsid w:val="00271353"/>
    <w:rsid w:val="0027169B"/>
    <w:rsid w:val="00271701"/>
    <w:rsid w:val="00271A25"/>
    <w:rsid w:val="002728D2"/>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2745"/>
    <w:rsid w:val="002831FC"/>
    <w:rsid w:val="002845AC"/>
    <w:rsid w:val="00285240"/>
    <w:rsid w:val="00285310"/>
    <w:rsid w:val="002859DB"/>
    <w:rsid w:val="002866CF"/>
    <w:rsid w:val="00286D81"/>
    <w:rsid w:val="00286F48"/>
    <w:rsid w:val="00287117"/>
    <w:rsid w:val="0028720C"/>
    <w:rsid w:val="00287717"/>
    <w:rsid w:val="002879FE"/>
    <w:rsid w:val="00287CDE"/>
    <w:rsid w:val="00287E09"/>
    <w:rsid w:val="002904AF"/>
    <w:rsid w:val="00290ED0"/>
    <w:rsid w:val="00290FB8"/>
    <w:rsid w:val="00291105"/>
    <w:rsid w:val="002913D7"/>
    <w:rsid w:val="0029252C"/>
    <w:rsid w:val="002949FD"/>
    <w:rsid w:val="00295872"/>
    <w:rsid w:val="00296780"/>
    <w:rsid w:val="002967A3"/>
    <w:rsid w:val="002967C1"/>
    <w:rsid w:val="002968DA"/>
    <w:rsid w:val="00296E76"/>
    <w:rsid w:val="00297098"/>
    <w:rsid w:val="0029712D"/>
    <w:rsid w:val="002A002F"/>
    <w:rsid w:val="002A1186"/>
    <w:rsid w:val="002A1447"/>
    <w:rsid w:val="002A1B9F"/>
    <w:rsid w:val="002A22DE"/>
    <w:rsid w:val="002A23FB"/>
    <w:rsid w:val="002A35C6"/>
    <w:rsid w:val="002A395F"/>
    <w:rsid w:val="002A42D2"/>
    <w:rsid w:val="002A4C21"/>
    <w:rsid w:val="002A54B4"/>
    <w:rsid w:val="002A5772"/>
    <w:rsid w:val="002A586E"/>
    <w:rsid w:val="002A5B13"/>
    <w:rsid w:val="002A5D15"/>
    <w:rsid w:val="002A5D61"/>
    <w:rsid w:val="002A642D"/>
    <w:rsid w:val="002A67A9"/>
    <w:rsid w:val="002A6AAB"/>
    <w:rsid w:val="002A7AEF"/>
    <w:rsid w:val="002B0330"/>
    <w:rsid w:val="002B123C"/>
    <w:rsid w:val="002B16EF"/>
    <w:rsid w:val="002B1962"/>
    <w:rsid w:val="002B207D"/>
    <w:rsid w:val="002B258A"/>
    <w:rsid w:val="002B2E32"/>
    <w:rsid w:val="002B345F"/>
    <w:rsid w:val="002B3472"/>
    <w:rsid w:val="002B3B0F"/>
    <w:rsid w:val="002B4B19"/>
    <w:rsid w:val="002B538C"/>
    <w:rsid w:val="002B6211"/>
    <w:rsid w:val="002B66F3"/>
    <w:rsid w:val="002B686B"/>
    <w:rsid w:val="002B686C"/>
    <w:rsid w:val="002B6D85"/>
    <w:rsid w:val="002B7512"/>
    <w:rsid w:val="002B779A"/>
    <w:rsid w:val="002B789A"/>
    <w:rsid w:val="002C0221"/>
    <w:rsid w:val="002C05D0"/>
    <w:rsid w:val="002C0961"/>
    <w:rsid w:val="002C1320"/>
    <w:rsid w:val="002C2D16"/>
    <w:rsid w:val="002C3137"/>
    <w:rsid w:val="002C3399"/>
    <w:rsid w:val="002C501C"/>
    <w:rsid w:val="002C7589"/>
    <w:rsid w:val="002C75B0"/>
    <w:rsid w:val="002D0BF6"/>
    <w:rsid w:val="002D32FC"/>
    <w:rsid w:val="002D3658"/>
    <w:rsid w:val="002D3937"/>
    <w:rsid w:val="002D3FC6"/>
    <w:rsid w:val="002D4788"/>
    <w:rsid w:val="002D4C08"/>
    <w:rsid w:val="002D53AE"/>
    <w:rsid w:val="002D54E7"/>
    <w:rsid w:val="002D55B0"/>
    <w:rsid w:val="002D5AD5"/>
    <w:rsid w:val="002D5FB0"/>
    <w:rsid w:val="002D6760"/>
    <w:rsid w:val="002D6913"/>
    <w:rsid w:val="002D6A90"/>
    <w:rsid w:val="002D6B50"/>
    <w:rsid w:val="002D77A2"/>
    <w:rsid w:val="002D7FDC"/>
    <w:rsid w:val="002E028F"/>
    <w:rsid w:val="002E0892"/>
    <w:rsid w:val="002E14ED"/>
    <w:rsid w:val="002E1CFE"/>
    <w:rsid w:val="002E1F83"/>
    <w:rsid w:val="002E1F99"/>
    <w:rsid w:val="002E202B"/>
    <w:rsid w:val="002E3B8E"/>
    <w:rsid w:val="002E3F99"/>
    <w:rsid w:val="002E402E"/>
    <w:rsid w:val="002E4A1D"/>
    <w:rsid w:val="002E5454"/>
    <w:rsid w:val="002E6E58"/>
    <w:rsid w:val="002E6E74"/>
    <w:rsid w:val="002E7154"/>
    <w:rsid w:val="002E7A7D"/>
    <w:rsid w:val="002E7D37"/>
    <w:rsid w:val="002F06B0"/>
    <w:rsid w:val="002F0E74"/>
    <w:rsid w:val="002F1CDB"/>
    <w:rsid w:val="002F249A"/>
    <w:rsid w:val="002F275E"/>
    <w:rsid w:val="002F2CA4"/>
    <w:rsid w:val="002F3019"/>
    <w:rsid w:val="002F3A7B"/>
    <w:rsid w:val="002F3FF6"/>
    <w:rsid w:val="002F4FA0"/>
    <w:rsid w:val="002F6051"/>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808"/>
    <w:rsid w:val="00306B0E"/>
    <w:rsid w:val="00307930"/>
    <w:rsid w:val="00307E17"/>
    <w:rsid w:val="00307EFF"/>
    <w:rsid w:val="0031099E"/>
    <w:rsid w:val="003118A7"/>
    <w:rsid w:val="00311C18"/>
    <w:rsid w:val="00311D2B"/>
    <w:rsid w:val="0031258A"/>
    <w:rsid w:val="00312DB2"/>
    <w:rsid w:val="003134A1"/>
    <w:rsid w:val="00314C1B"/>
    <w:rsid w:val="00314DF5"/>
    <w:rsid w:val="0031516B"/>
    <w:rsid w:val="00315885"/>
    <w:rsid w:val="00315F59"/>
    <w:rsid w:val="00316B95"/>
    <w:rsid w:val="00317042"/>
    <w:rsid w:val="003172E9"/>
    <w:rsid w:val="00317C01"/>
    <w:rsid w:val="00317FC7"/>
    <w:rsid w:val="00320399"/>
    <w:rsid w:val="00320484"/>
    <w:rsid w:val="0032109E"/>
    <w:rsid w:val="00321349"/>
    <w:rsid w:val="00321577"/>
    <w:rsid w:val="00321AF0"/>
    <w:rsid w:val="00321B89"/>
    <w:rsid w:val="00321BDB"/>
    <w:rsid w:val="0032241C"/>
    <w:rsid w:val="00325D68"/>
    <w:rsid w:val="00325DEE"/>
    <w:rsid w:val="00326191"/>
    <w:rsid w:val="0032621C"/>
    <w:rsid w:val="003264A7"/>
    <w:rsid w:val="00330321"/>
    <w:rsid w:val="003308C7"/>
    <w:rsid w:val="00330FC1"/>
    <w:rsid w:val="00331A48"/>
    <w:rsid w:val="00331F3B"/>
    <w:rsid w:val="00332075"/>
    <w:rsid w:val="00332CEE"/>
    <w:rsid w:val="00332DA2"/>
    <w:rsid w:val="00333185"/>
    <w:rsid w:val="003334A3"/>
    <w:rsid w:val="00333B52"/>
    <w:rsid w:val="00333F02"/>
    <w:rsid w:val="00333FE2"/>
    <w:rsid w:val="00334D35"/>
    <w:rsid w:val="003356CE"/>
    <w:rsid w:val="003356F4"/>
    <w:rsid w:val="003357B2"/>
    <w:rsid w:val="00335B97"/>
    <w:rsid w:val="003362D5"/>
    <w:rsid w:val="003365BF"/>
    <w:rsid w:val="00336C28"/>
    <w:rsid w:val="00340F28"/>
    <w:rsid w:val="00341301"/>
    <w:rsid w:val="003413A5"/>
    <w:rsid w:val="00341EFD"/>
    <w:rsid w:val="0034201B"/>
    <w:rsid w:val="00342960"/>
    <w:rsid w:val="00342EBA"/>
    <w:rsid w:val="00343417"/>
    <w:rsid w:val="00343B6C"/>
    <w:rsid w:val="00343FD1"/>
    <w:rsid w:val="003445D3"/>
    <w:rsid w:val="00344F32"/>
    <w:rsid w:val="0034691B"/>
    <w:rsid w:val="00347016"/>
    <w:rsid w:val="003474F0"/>
    <w:rsid w:val="00347511"/>
    <w:rsid w:val="00347E88"/>
    <w:rsid w:val="003508DC"/>
    <w:rsid w:val="00350FCF"/>
    <w:rsid w:val="0035123C"/>
    <w:rsid w:val="003512B3"/>
    <w:rsid w:val="00351A83"/>
    <w:rsid w:val="003523CE"/>
    <w:rsid w:val="00353414"/>
    <w:rsid w:val="00353E4C"/>
    <w:rsid w:val="00354321"/>
    <w:rsid w:val="00354D09"/>
    <w:rsid w:val="00356011"/>
    <w:rsid w:val="003564EF"/>
    <w:rsid w:val="00356662"/>
    <w:rsid w:val="00357FC6"/>
    <w:rsid w:val="00360033"/>
    <w:rsid w:val="00360301"/>
    <w:rsid w:val="00360594"/>
    <w:rsid w:val="00362758"/>
    <w:rsid w:val="00362900"/>
    <w:rsid w:val="003631EE"/>
    <w:rsid w:val="003632D9"/>
    <w:rsid w:val="00363902"/>
    <w:rsid w:val="00363C45"/>
    <w:rsid w:val="003642E3"/>
    <w:rsid w:val="003646C3"/>
    <w:rsid w:val="003653F7"/>
    <w:rsid w:val="00366E31"/>
    <w:rsid w:val="003670BB"/>
    <w:rsid w:val="003671E6"/>
    <w:rsid w:val="0036780D"/>
    <w:rsid w:val="003678F1"/>
    <w:rsid w:val="00367A65"/>
    <w:rsid w:val="003702A6"/>
    <w:rsid w:val="00370619"/>
    <w:rsid w:val="00370875"/>
    <w:rsid w:val="00371CE9"/>
    <w:rsid w:val="00372CE2"/>
    <w:rsid w:val="003730C8"/>
    <w:rsid w:val="003740AC"/>
    <w:rsid w:val="00374576"/>
    <w:rsid w:val="0037484F"/>
    <w:rsid w:val="00374D89"/>
    <w:rsid w:val="00376CFE"/>
    <w:rsid w:val="00376D5D"/>
    <w:rsid w:val="0037709A"/>
    <w:rsid w:val="00377A85"/>
    <w:rsid w:val="00380305"/>
    <w:rsid w:val="00380D4D"/>
    <w:rsid w:val="00380F55"/>
    <w:rsid w:val="00381207"/>
    <w:rsid w:val="003813F5"/>
    <w:rsid w:val="00381597"/>
    <w:rsid w:val="003817FE"/>
    <w:rsid w:val="00381981"/>
    <w:rsid w:val="00382174"/>
    <w:rsid w:val="003821A8"/>
    <w:rsid w:val="003830A7"/>
    <w:rsid w:val="003832E8"/>
    <w:rsid w:val="00383A94"/>
    <w:rsid w:val="00383E03"/>
    <w:rsid w:val="003848B5"/>
    <w:rsid w:val="00385208"/>
    <w:rsid w:val="003855C0"/>
    <w:rsid w:val="0038794D"/>
    <w:rsid w:val="003904F0"/>
    <w:rsid w:val="00390FF4"/>
    <w:rsid w:val="00391FE2"/>
    <w:rsid w:val="003920F0"/>
    <w:rsid w:val="00392282"/>
    <w:rsid w:val="00392B93"/>
    <w:rsid w:val="00392D4F"/>
    <w:rsid w:val="003940E8"/>
    <w:rsid w:val="00394338"/>
    <w:rsid w:val="003946B6"/>
    <w:rsid w:val="00394959"/>
    <w:rsid w:val="00394E85"/>
    <w:rsid w:val="00395026"/>
    <w:rsid w:val="00395267"/>
    <w:rsid w:val="003952C4"/>
    <w:rsid w:val="00395CB2"/>
    <w:rsid w:val="00395D5F"/>
    <w:rsid w:val="00397761"/>
    <w:rsid w:val="0039784E"/>
    <w:rsid w:val="00397EB0"/>
    <w:rsid w:val="003A0DB6"/>
    <w:rsid w:val="003A0ED3"/>
    <w:rsid w:val="003A14F6"/>
    <w:rsid w:val="003A16EB"/>
    <w:rsid w:val="003A2454"/>
    <w:rsid w:val="003A2455"/>
    <w:rsid w:val="003A33AB"/>
    <w:rsid w:val="003A35A1"/>
    <w:rsid w:val="003A4385"/>
    <w:rsid w:val="003A43D0"/>
    <w:rsid w:val="003A4DAD"/>
    <w:rsid w:val="003A4FDF"/>
    <w:rsid w:val="003A53F8"/>
    <w:rsid w:val="003A5BEF"/>
    <w:rsid w:val="003A632A"/>
    <w:rsid w:val="003A6669"/>
    <w:rsid w:val="003A6A04"/>
    <w:rsid w:val="003A6B5C"/>
    <w:rsid w:val="003B0416"/>
    <w:rsid w:val="003B0439"/>
    <w:rsid w:val="003B0869"/>
    <w:rsid w:val="003B0B23"/>
    <w:rsid w:val="003B0EBA"/>
    <w:rsid w:val="003B1144"/>
    <w:rsid w:val="003B14BC"/>
    <w:rsid w:val="003B16D8"/>
    <w:rsid w:val="003B1725"/>
    <w:rsid w:val="003B1CF2"/>
    <w:rsid w:val="003B2041"/>
    <w:rsid w:val="003B269A"/>
    <w:rsid w:val="003B28A7"/>
    <w:rsid w:val="003B335C"/>
    <w:rsid w:val="003B3EBC"/>
    <w:rsid w:val="003B4047"/>
    <w:rsid w:val="003B474A"/>
    <w:rsid w:val="003B4E10"/>
    <w:rsid w:val="003B4EA0"/>
    <w:rsid w:val="003B79DF"/>
    <w:rsid w:val="003B7A21"/>
    <w:rsid w:val="003C07AC"/>
    <w:rsid w:val="003C0B57"/>
    <w:rsid w:val="003C0D2E"/>
    <w:rsid w:val="003C0FE6"/>
    <w:rsid w:val="003C18C5"/>
    <w:rsid w:val="003C19B1"/>
    <w:rsid w:val="003C1FF6"/>
    <w:rsid w:val="003C3496"/>
    <w:rsid w:val="003C399B"/>
    <w:rsid w:val="003C3B94"/>
    <w:rsid w:val="003C4306"/>
    <w:rsid w:val="003C5306"/>
    <w:rsid w:val="003C57B8"/>
    <w:rsid w:val="003C62FE"/>
    <w:rsid w:val="003C65F4"/>
    <w:rsid w:val="003C74BC"/>
    <w:rsid w:val="003C75FF"/>
    <w:rsid w:val="003D0497"/>
    <w:rsid w:val="003D0969"/>
    <w:rsid w:val="003D0BC6"/>
    <w:rsid w:val="003D1789"/>
    <w:rsid w:val="003D1D81"/>
    <w:rsid w:val="003D31EB"/>
    <w:rsid w:val="003D3305"/>
    <w:rsid w:val="003D351C"/>
    <w:rsid w:val="003D36C4"/>
    <w:rsid w:val="003D396A"/>
    <w:rsid w:val="003D3DF4"/>
    <w:rsid w:val="003D4C2B"/>
    <w:rsid w:val="003D5599"/>
    <w:rsid w:val="003D6069"/>
    <w:rsid w:val="003D66C9"/>
    <w:rsid w:val="003D6F3A"/>
    <w:rsid w:val="003D733D"/>
    <w:rsid w:val="003D7974"/>
    <w:rsid w:val="003D7A21"/>
    <w:rsid w:val="003D7C6B"/>
    <w:rsid w:val="003D7D56"/>
    <w:rsid w:val="003E0987"/>
    <w:rsid w:val="003E0B06"/>
    <w:rsid w:val="003E1568"/>
    <w:rsid w:val="003E32A3"/>
    <w:rsid w:val="003E3526"/>
    <w:rsid w:val="003E36B1"/>
    <w:rsid w:val="003E44BF"/>
    <w:rsid w:val="003E74A6"/>
    <w:rsid w:val="003E7D23"/>
    <w:rsid w:val="003F01AA"/>
    <w:rsid w:val="003F047F"/>
    <w:rsid w:val="003F212A"/>
    <w:rsid w:val="003F2E53"/>
    <w:rsid w:val="003F2F03"/>
    <w:rsid w:val="003F46A0"/>
    <w:rsid w:val="003F4EE4"/>
    <w:rsid w:val="003F5377"/>
    <w:rsid w:val="003F56B8"/>
    <w:rsid w:val="003F5829"/>
    <w:rsid w:val="003F5C70"/>
    <w:rsid w:val="003F6A8B"/>
    <w:rsid w:val="003F6BD4"/>
    <w:rsid w:val="003F7175"/>
    <w:rsid w:val="004002E5"/>
    <w:rsid w:val="004005AF"/>
    <w:rsid w:val="004012C0"/>
    <w:rsid w:val="004018BA"/>
    <w:rsid w:val="00401ECD"/>
    <w:rsid w:val="0040275F"/>
    <w:rsid w:val="004029C9"/>
    <w:rsid w:val="00403CA8"/>
    <w:rsid w:val="00404B6F"/>
    <w:rsid w:val="00404EAA"/>
    <w:rsid w:val="00405189"/>
    <w:rsid w:val="0040530F"/>
    <w:rsid w:val="004053A6"/>
    <w:rsid w:val="004059E0"/>
    <w:rsid w:val="00405BA5"/>
    <w:rsid w:val="004063C0"/>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45A"/>
    <w:rsid w:val="00417DC1"/>
    <w:rsid w:val="00420E5F"/>
    <w:rsid w:val="00422587"/>
    <w:rsid w:val="00422841"/>
    <w:rsid w:val="00423F9A"/>
    <w:rsid w:val="00424EF7"/>
    <w:rsid w:val="00425912"/>
    <w:rsid w:val="004259E7"/>
    <w:rsid w:val="00426581"/>
    <w:rsid w:val="00426727"/>
    <w:rsid w:val="00426C5D"/>
    <w:rsid w:val="00427A58"/>
    <w:rsid w:val="00427FFA"/>
    <w:rsid w:val="00430979"/>
    <w:rsid w:val="00430C94"/>
    <w:rsid w:val="00431263"/>
    <w:rsid w:val="00431BC8"/>
    <w:rsid w:val="00431EB4"/>
    <w:rsid w:val="00432379"/>
    <w:rsid w:val="004329C5"/>
    <w:rsid w:val="0043353B"/>
    <w:rsid w:val="00433A0A"/>
    <w:rsid w:val="00433B97"/>
    <w:rsid w:val="0043417B"/>
    <w:rsid w:val="00434589"/>
    <w:rsid w:val="0043464F"/>
    <w:rsid w:val="00434703"/>
    <w:rsid w:val="00434B26"/>
    <w:rsid w:val="0043598B"/>
    <w:rsid w:val="00435C45"/>
    <w:rsid w:val="00435E69"/>
    <w:rsid w:val="0043646E"/>
    <w:rsid w:val="004364AB"/>
    <w:rsid w:val="0043674F"/>
    <w:rsid w:val="00436FA3"/>
    <w:rsid w:val="00437184"/>
    <w:rsid w:val="0043772F"/>
    <w:rsid w:val="00440A6E"/>
    <w:rsid w:val="00440E18"/>
    <w:rsid w:val="00441BD4"/>
    <w:rsid w:val="00442B9A"/>
    <w:rsid w:val="00442FE2"/>
    <w:rsid w:val="00443BC2"/>
    <w:rsid w:val="00443EC1"/>
    <w:rsid w:val="00444B01"/>
    <w:rsid w:val="00444DB0"/>
    <w:rsid w:val="00445133"/>
    <w:rsid w:val="004456F3"/>
    <w:rsid w:val="004457FD"/>
    <w:rsid w:val="00445E4F"/>
    <w:rsid w:val="00445F70"/>
    <w:rsid w:val="004461C6"/>
    <w:rsid w:val="004477F1"/>
    <w:rsid w:val="00447F7F"/>
    <w:rsid w:val="0045030D"/>
    <w:rsid w:val="0045078D"/>
    <w:rsid w:val="00450ABA"/>
    <w:rsid w:val="00450BEA"/>
    <w:rsid w:val="00450EF0"/>
    <w:rsid w:val="004510A0"/>
    <w:rsid w:val="0045158F"/>
    <w:rsid w:val="00451C0A"/>
    <w:rsid w:val="00451E14"/>
    <w:rsid w:val="00452717"/>
    <w:rsid w:val="004528A4"/>
    <w:rsid w:val="0045292D"/>
    <w:rsid w:val="00452FB3"/>
    <w:rsid w:val="00453E24"/>
    <w:rsid w:val="00454A0B"/>
    <w:rsid w:val="004550EB"/>
    <w:rsid w:val="00455FE1"/>
    <w:rsid w:val="00456898"/>
    <w:rsid w:val="004569A5"/>
    <w:rsid w:val="004569FA"/>
    <w:rsid w:val="00456BFF"/>
    <w:rsid w:val="00457230"/>
    <w:rsid w:val="004573F1"/>
    <w:rsid w:val="00457B40"/>
    <w:rsid w:val="00457D2C"/>
    <w:rsid w:val="00457EA6"/>
    <w:rsid w:val="00460105"/>
    <w:rsid w:val="004605BC"/>
    <w:rsid w:val="00460BEB"/>
    <w:rsid w:val="0046182D"/>
    <w:rsid w:val="00461F02"/>
    <w:rsid w:val="00462263"/>
    <w:rsid w:val="00462987"/>
    <w:rsid w:val="00462C59"/>
    <w:rsid w:val="00462EB3"/>
    <w:rsid w:val="0046303D"/>
    <w:rsid w:val="00464F36"/>
    <w:rsid w:val="00465FC4"/>
    <w:rsid w:val="00466857"/>
    <w:rsid w:val="004676C1"/>
    <w:rsid w:val="00467A6B"/>
    <w:rsid w:val="00467BD3"/>
    <w:rsid w:val="00467C95"/>
    <w:rsid w:val="00467ED4"/>
    <w:rsid w:val="004704B0"/>
    <w:rsid w:val="00472072"/>
    <w:rsid w:val="0047224F"/>
    <w:rsid w:val="00472DC2"/>
    <w:rsid w:val="00472FC6"/>
    <w:rsid w:val="004731F2"/>
    <w:rsid w:val="00473DD3"/>
    <w:rsid w:val="00475C35"/>
    <w:rsid w:val="00476320"/>
    <w:rsid w:val="00476641"/>
    <w:rsid w:val="00476830"/>
    <w:rsid w:val="00476E3B"/>
    <w:rsid w:val="00476F7C"/>
    <w:rsid w:val="00477621"/>
    <w:rsid w:val="004809A6"/>
    <w:rsid w:val="00480C98"/>
    <w:rsid w:val="00481542"/>
    <w:rsid w:val="00482271"/>
    <w:rsid w:val="00482531"/>
    <w:rsid w:val="00482BC7"/>
    <w:rsid w:val="00482FCB"/>
    <w:rsid w:val="00483231"/>
    <w:rsid w:val="00483861"/>
    <w:rsid w:val="0048402F"/>
    <w:rsid w:val="00484821"/>
    <w:rsid w:val="00485134"/>
    <w:rsid w:val="00485818"/>
    <w:rsid w:val="00485BEC"/>
    <w:rsid w:val="00486DA0"/>
    <w:rsid w:val="00487199"/>
    <w:rsid w:val="00487335"/>
    <w:rsid w:val="00491AB9"/>
    <w:rsid w:val="00491D0A"/>
    <w:rsid w:val="00491F63"/>
    <w:rsid w:val="004922CC"/>
    <w:rsid w:val="004925A1"/>
    <w:rsid w:val="004926B7"/>
    <w:rsid w:val="0049292B"/>
    <w:rsid w:val="00492BC0"/>
    <w:rsid w:val="0049360D"/>
    <w:rsid w:val="0049363D"/>
    <w:rsid w:val="004947AF"/>
    <w:rsid w:val="004947FD"/>
    <w:rsid w:val="004949B3"/>
    <w:rsid w:val="00494A45"/>
    <w:rsid w:val="00494CDE"/>
    <w:rsid w:val="00494F85"/>
    <w:rsid w:val="004951A0"/>
    <w:rsid w:val="00495285"/>
    <w:rsid w:val="00495DD9"/>
    <w:rsid w:val="00495E4F"/>
    <w:rsid w:val="0049639F"/>
    <w:rsid w:val="004973ED"/>
    <w:rsid w:val="00497AED"/>
    <w:rsid w:val="00497B7B"/>
    <w:rsid w:val="00497F36"/>
    <w:rsid w:val="004A082E"/>
    <w:rsid w:val="004A0A5E"/>
    <w:rsid w:val="004A17FE"/>
    <w:rsid w:val="004A1D38"/>
    <w:rsid w:val="004A30FA"/>
    <w:rsid w:val="004A3858"/>
    <w:rsid w:val="004A3FA6"/>
    <w:rsid w:val="004A4169"/>
    <w:rsid w:val="004A5078"/>
    <w:rsid w:val="004A5441"/>
    <w:rsid w:val="004A561E"/>
    <w:rsid w:val="004A6CAA"/>
    <w:rsid w:val="004A6CF5"/>
    <w:rsid w:val="004A6F71"/>
    <w:rsid w:val="004B0E85"/>
    <w:rsid w:val="004B1425"/>
    <w:rsid w:val="004B169F"/>
    <w:rsid w:val="004B18D7"/>
    <w:rsid w:val="004B1F8C"/>
    <w:rsid w:val="004B2D48"/>
    <w:rsid w:val="004B372F"/>
    <w:rsid w:val="004B3A06"/>
    <w:rsid w:val="004B4212"/>
    <w:rsid w:val="004B4BEE"/>
    <w:rsid w:val="004B53BA"/>
    <w:rsid w:val="004B61B8"/>
    <w:rsid w:val="004B6DAB"/>
    <w:rsid w:val="004B7539"/>
    <w:rsid w:val="004C13CC"/>
    <w:rsid w:val="004C15BB"/>
    <w:rsid w:val="004C1D2D"/>
    <w:rsid w:val="004C1D7D"/>
    <w:rsid w:val="004C3350"/>
    <w:rsid w:val="004C49FB"/>
    <w:rsid w:val="004C4C2F"/>
    <w:rsid w:val="004C523B"/>
    <w:rsid w:val="004C593D"/>
    <w:rsid w:val="004C68E3"/>
    <w:rsid w:val="004C7334"/>
    <w:rsid w:val="004C7377"/>
    <w:rsid w:val="004C79A0"/>
    <w:rsid w:val="004C7DC6"/>
    <w:rsid w:val="004D0A34"/>
    <w:rsid w:val="004D0ACF"/>
    <w:rsid w:val="004D0C9C"/>
    <w:rsid w:val="004D0DFC"/>
    <w:rsid w:val="004D0EF2"/>
    <w:rsid w:val="004D0F25"/>
    <w:rsid w:val="004D140E"/>
    <w:rsid w:val="004D238A"/>
    <w:rsid w:val="004D39BA"/>
    <w:rsid w:val="004D3CEB"/>
    <w:rsid w:val="004D4312"/>
    <w:rsid w:val="004D4DBB"/>
    <w:rsid w:val="004D50F2"/>
    <w:rsid w:val="004D59DE"/>
    <w:rsid w:val="004D5DFB"/>
    <w:rsid w:val="004D5FAD"/>
    <w:rsid w:val="004D6553"/>
    <w:rsid w:val="004D6E40"/>
    <w:rsid w:val="004D6ED7"/>
    <w:rsid w:val="004D72C1"/>
    <w:rsid w:val="004D7FD5"/>
    <w:rsid w:val="004E0FBE"/>
    <w:rsid w:val="004E17CD"/>
    <w:rsid w:val="004E2588"/>
    <w:rsid w:val="004E3344"/>
    <w:rsid w:val="004E3E63"/>
    <w:rsid w:val="004E4800"/>
    <w:rsid w:val="004E53FA"/>
    <w:rsid w:val="004E58E9"/>
    <w:rsid w:val="004E6A78"/>
    <w:rsid w:val="004E6F4C"/>
    <w:rsid w:val="004E725A"/>
    <w:rsid w:val="004F034D"/>
    <w:rsid w:val="004F0457"/>
    <w:rsid w:val="004F0AEC"/>
    <w:rsid w:val="004F0CEC"/>
    <w:rsid w:val="004F0E58"/>
    <w:rsid w:val="004F1A5C"/>
    <w:rsid w:val="004F2172"/>
    <w:rsid w:val="004F217B"/>
    <w:rsid w:val="004F2381"/>
    <w:rsid w:val="004F25AA"/>
    <w:rsid w:val="004F36CE"/>
    <w:rsid w:val="004F3C6D"/>
    <w:rsid w:val="004F4126"/>
    <w:rsid w:val="004F4232"/>
    <w:rsid w:val="004F5952"/>
    <w:rsid w:val="004F681E"/>
    <w:rsid w:val="004F7448"/>
    <w:rsid w:val="004F74CF"/>
    <w:rsid w:val="004F774C"/>
    <w:rsid w:val="004F790E"/>
    <w:rsid w:val="00500540"/>
    <w:rsid w:val="00500791"/>
    <w:rsid w:val="00500A4B"/>
    <w:rsid w:val="0050152D"/>
    <w:rsid w:val="00501CBA"/>
    <w:rsid w:val="00501EF2"/>
    <w:rsid w:val="0050263B"/>
    <w:rsid w:val="00502BC6"/>
    <w:rsid w:val="00502E27"/>
    <w:rsid w:val="00503FB5"/>
    <w:rsid w:val="0050453C"/>
    <w:rsid w:val="00504547"/>
    <w:rsid w:val="00505C7B"/>
    <w:rsid w:val="00506357"/>
    <w:rsid w:val="00506EFF"/>
    <w:rsid w:val="0050772B"/>
    <w:rsid w:val="00507D7B"/>
    <w:rsid w:val="00510119"/>
    <w:rsid w:val="005102A4"/>
    <w:rsid w:val="0051055C"/>
    <w:rsid w:val="00512D78"/>
    <w:rsid w:val="00512DE3"/>
    <w:rsid w:val="00512E95"/>
    <w:rsid w:val="005133C6"/>
    <w:rsid w:val="00514288"/>
    <w:rsid w:val="0051452A"/>
    <w:rsid w:val="005149F7"/>
    <w:rsid w:val="00514A8B"/>
    <w:rsid w:val="00515CD7"/>
    <w:rsid w:val="00515EF4"/>
    <w:rsid w:val="00516278"/>
    <w:rsid w:val="00516AB3"/>
    <w:rsid w:val="00516AB4"/>
    <w:rsid w:val="005171B6"/>
    <w:rsid w:val="00517CFE"/>
    <w:rsid w:val="0052042C"/>
    <w:rsid w:val="00520EB1"/>
    <w:rsid w:val="00521B46"/>
    <w:rsid w:val="00521CBF"/>
    <w:rsid w:val="00521F6D"/>
    <w:rsid w:val="005222DD"/>
    <w:rsid w:val="005223E9"/>
    <w:rsid w:val="00524303"/>
    <w:rsid w:val="005247C1"/>
    <w:rsid w:val="00525936"/>
    <w:rsid w:val="00526667"/>
    <w:rsid w:val="00527010"/>
    <w:rsid w:val="0052716F"/>
    <w:rsid w:val="005273EB"/>
    <w:rsid w:val="00527A60"/>
    <w:rsid w:val="00527DC0"/>
    <w:rsid w:val="00530493"/>
    <w:rsid w:val="0053069E"/>
    <w:rsid w:val="00530D1A"/>
    <w:rsid w:val="005310A7"/>
    <w:rsid w:val="00532226"/>
    <w:rsid w:val="005326DD"/>
    <w:rsid w:val="005328B4"/>
    <w:rsid w:val="00532997"/>
    <w:rsid w:val="00532FF2"/>
    <w:rsid w:val="00533233"/>
    <w:rsid w:val="00533DD5"/>
    <w:rsid w:val="0053420D"/>
    <w:rsid w:val="00534AEA"/>
    <w:rsid w:val="00535078"/>
    <w:rsid w:val="00535A01"/>
    <w:rsid w:val="00535BAB"/>
    <w:rsid w:val="00535D57"/>
    <w:rsid w:val="0053721F"/>
    <w:rsid w:val="0053726B"/>
    <w:rsid w:val="00540043"/>
    <w:rsid w:val="005403A3"/>
    <w:rsid w:val="00540635"/>
    <w:rsid w:val="00540AF6"/>
    <w:rsid w:val="00541075"/>
    <w:rsid w:val="005411BD"/>
    <w:rsid w:val="005414D7"/>
    <w:rsid w:val="00541963"/>
    <w:rsid w:val="00541C3A"/>
    <w:rsid w:val="005422AA"/>
    <w:rsid w:val="0054282A"/>
    <w:rsid w:val="0054317D"/>
    <w:rsid w:val="0054334B"/>
    <w:rsid w:val="00543682"/>
    <w:rsid w:val="00543ACC"/>
    <w:rsid w:val="00543CDB"/>
    <w:rsid w:val="00544156"/>
    <w:rsid w:val="005442A2"/>
    <w:rsid w:val="00544597"/>
    <w:rsid w:val="00544654"/>
    <w:rsid w:val="00544A38"/>
    <w:rsid w:val="00544D9F"/>
    <w:rsid w:val="0054505A"/>
    <w:rsid w:val="00545073"/>
    <w:rsid w:val="00545638"/>
    <w:rsid w:val="00545821"/>
    <w:rsid w:val="00545D0C"/>
    <w:rsid w:val="005469CB"/>
    <w:rsid w:val="00546BF2"/>
    <w:rsid w:val="005470A9"/>
    <w:rsid w:val="0054734D"/>
    <w:rsid w:val="00547B5F"/>
    <w:rsid w:val="00547CB7"/>
    <w:rsid w:val="00547ECC"/>
    <w:rsid w:val="00550011"/>
    <w:rsid w:val="005505A7"/>
    <w:rsid w:val="00550B50"/>
    <w:rsid w:val="00551AC5"/>
    <w:rsid w:val="00551AEB"/>
    <w:rsid w:val="00551F10"/>
    <w:rsid w:val="005520F0"/>
    <w:rsid w:val="00552604"/>
    <w:rsid w:val="00552F1B"/>
    <w:rsid w:val="00552F9A"/>
    <w:rsid w:val="005533FF"/>
    <w:rsid w:val="00553404"/>
    <w:rsid w:val="005535A4"/>
    <w:rsid w:val="00553757"/>
    <w:rsid w:val="0055487E"/>
    <w:rsid w:val="00554F41"/>
    <w:rsid w:val="00554F9B"/>
    <w:rsid w:val="0055507F"/>
    <w:rsid w:val="00555965"/>
    <w:rsid w:val="00555EB8"/>
    <w:rsid w:val="0056125C"/>
    <w:rsid w:val="00561361"/>
    <w:rsid w:val="00561387"/>
    <w:rsid w:val="00561759"/>
    <w:rsid w:val="005618C8"/>
    <w:rsid w:val="005619BB"/>
    <w:rsid w:val="00561F63"/>
    <w:rsid w:val="00562747"/>
    <w:rsid w:val="00562EF3"/>
    <w:rsid w:val="00563C5A"/>
    <w:rsid w:val="00563F75"/>
    <w:rsid w:val="005642C9"/>
    <w:rsid w:val="00564419"/>
    <w:rsid w:val="00564502"/>
    <w:rsid w:val="00564697"/>
    <w:rsid w:val="005647D5"/>
    <w:rsid w:val="00564BC9"/>
    <w:rsid w:val="00564C66"/>
    <w:rsid w:val="00565D14"/>
    <w:rsid w:val="00566946"/>
    <w:rsid w:val="00567AAC"/>
    <w:rsid w:val="00567D13"/>
    <w:rsid w:val="00570A23"/>
    <w:rsid w:val="00571855"/>
    <w:rsid w:val="00571E1D"/>
    <w:rsid w:val="00572290"/>
    <w:rsid w:val="00572ADB"/>
    <w:rsid w:val="00573E54"/>
    <w:rsid w:val="005741AA"/>
    <w:rsid w:val="005742DB"/>
    <w:rsid w:val="00574A83"/>
    <w:rsid w:val="00574C89"/>
    <w:rsid w:val="00574F69"/>
    <w:rsid w:val="00575105"/>
    <w:rsid w:val="0057545C"/>
    <w:rsid w:val="00575833"/>
    <w:rsid w:val="00576357"/>
    <w:rsid w:val="00576763"/>
    <w:rsid w:val="00576F3A"/>
    <w:rsid w:val="00577174"/>
    <w:rsid w:val="00577A42"/>
    <w:rsid w:val="00577E49"/>
    <w:rsid w:val="005801B7"/>
    <w:rsid w:val="00581323"/>
    <w:rsid w:val="005814E2"/>
    <w:rsid w:val="00582694"/>
    <w:rsid w:val="00583304"/>
    <w:rsid w:val="00583D89"/>
    <w:rsid w:val="00583F72"/>
    <w:rsid w:val="00584073"/>
    <w:rsid w:val="0058430D"/>
    <w:rsid w:val="00584AA2"/>
    <w:rsid w:val="005851AA"/>
    <w:rsid w:val="0058568A"/>
    <w:rsid w:val="0058574B"/>
    <w:rsid w:val="005857A9"/>
    <w:rsid w:val="00585A48"/>
    <w:rsid w:val="005861E6"/>
    <w:rsid w:val="005867EC"/>
    <w:rsid w:val="005868CF"/>
    <w:rsid w:val="00586E9A"/>
    <w:rsid w:val="00591147"/>
    <w:rsid w:val="0059163F"/>
    <w:rsid w:val="005923D3"/>
    <w:rsid w:val="00592582"/>
    <w:rsid w:val="00592BC4"/>
    <w:rsid w:val="00592D0C"/>
    <w:rsid w:val="00592E6E"/>
    <w:rsid w:val="00593CC9"/>
    <w:rsid w:val="00593E99"/>
    <w:rsid w:val="00594255"/>
    <w:rsid w:val="00594501"/>
    <w:rsid w:val="00595AF5"/>
    <w:rsid w:val="00595E65"/>
    <w:rsid w:val="0059664A"/>
    <w:rsid w:val="00596759"/>
    <w:rsid w:val="005968EB"/>
    <w:rsid w:val="0059704A"/>
    <w:rsid w:val="00597218"/>
    <w:rsid w:val="005975D4"/>
    <w:rsid w:val="00597E8D"/>
    <w:rsid w:val="005A0392"/>
    <w:rsid w:val="005A0966"/>
    <w:rsid w:val="005A0DDC"/>
    <w:rsid w:val="005A1265"/>
    <w:rsid w:val="005A2044"/>
    <w:rsid w:val="005A2188"/>
    <w:rsid w:val="005A2543"/>
    <w:rsid w:val="005A2599"/>
    <w:rsid w:val="005A483A"/>
    <w:rsid w:val="005A5401"/>
    <w:rsid w:val="005A6402"/>
    <w:rsid w:val="005B1686"/>
    <w:rsid w:val="005B1F4D"/>
    <w:rsid w:val="005B272A"/>
    <w:rsid w:val="005B2831"/>
    <w:rsid w:val="005B28FA"/>
    <w:rsid w:val="005B41C8"/>
    <w:rsid w:val="005B501D"/>
    <w:rsid w:val="005B559A"/>
    <w:rsid w:val="005B595B"/>
    <w:rsid w:val="005B5A76"/>
    <w:rsid w:val="005B6F66"/>
    <w:rsid w:val="005B7359"/>
    <w:rsid w:val="005B7555"/>
    <w:rsid w:val="005C0605"/>
    <w:rsid w:val="005C061C"/>
    <w:rsid w:val="005C0FEC"/>
    <w:rsid w:val="005C2035"/>
    <w:rsid w:val="005C257C"/>
    <w:rsid w:val="005C299D"/>
    <w:rsid w:val="005C2B44"/>
    <w:rsid w:val="005C2F5C"/>
    <w:rsid w:val="005C40C4"/>
    <w:rsid w:val="005C59AF"/>
    <w:rsid w:val="005C5A28"/>
    <w:rsid w:val="005C600C"/>
    <w:rsid w:val="005C601C"/>
    <w:rsid w:val="005C638F"/>
    <w:rsid w:val="005C6953"/>
    <w:rsid w:val="005C6DC8"/>
    <w:rsid w:val="005C7157"/>
    <w:rsid w:val="005C7D5F"/>
    <w:rsid w:val="005D03C4"/>
    <w:rsid w:val="005D065A"/>
    <w:rsid w:val="005D099F"/>
    <w:rsid w:val="005D0AC4"/>
    <w:rsid w:val="005D0C2F"/>
    <w:rsid w:val="005D1414"/>
    <w:rsid w:val="005D1B4C"/>
    <w:rsid w:val="005D2062"/>
    <w:rsid w:val="005D22F8"/>
    <w:rsid w:val="005D3116"/>
    <w:rsid w:val="005D3916"/>
    <w:rsid w:val="005D4367"/>
    <w:rsid w:val="005D4A94"/>
    <w:rsid w:val="005D4E1F"/>
    <w:rsid w:val="005D4FFC"/>
    <w:rsid w:val="005D544A"/>
    <w:rsid w:val="005D5CB5"/>
    <w:rsid w:val="005D5E14"/>
    <w:rsid w:val="005D6244"/>
    <w:rsid w:val="005D64BB"/>
    <w:rsid w:val="005D6E75"/>
    <w:rsid w:val="005D74CC"/>
    <w:rsid w:val="005D764F"/>
    <w:rsid w:val="005E0BE6"/>
    <w:rsid w:val="005E208E"/>
    <w:rsid w:val="005E22B4"/>
    <w:rsid w:val="005E2606"/>
    <w:rsid w:val="005E2D85"/>
    <w:rsid w:val="005E2EF6"/>
    <w:rsid w:val="005E3B8C"/>
    <w:rsid w:val="005E3CA9"/>
    <w:rsid w:val="005E5097"/>
    <w:rsid w:val="005E5A82"/>
    <w:rsid w:val="005E5DC2"/>
    <w:rsid w:val="005E69C9"/>
    <w:rsid w:val="005E7956"/>
    <w:rsid w:val="005E7AC5"/>
    <w:rsid w:val="005E7F3E"/>
    <w:rsid w:val="005F068D"/>
    <w:rsid w:val="005F0BFB"/>
    <w:rsid w:val="005F10A4"/>
    <w:rsid w:val="005F12BC"/>
    <w:rsid w:val="005F156B"/>
    <w:rsid w:val="005F17AF"/>
    <w:rsid w:val="005F2BBA"/>
    <w:rsid w:val="005F31BD"/>
    <w:rsid w:val="005F375E"/>
    <w:rsid w:val="005F3D49"/>
    <w:rsid w:val="005F3E99"/>
    <w:rsid w:val="005F42E7"/>
    <w:rsid w:val="005F4A05"/>
    <w:rsid w:val="005F6A67"/>
    <w:rsid w:val="005F7196"/>
    <w:rsid w:val="005F7C66"/>
    <w:rsid w:val="005F7CBA"/>
    <w:rsid w:val="00600926"/>
    <w:rsid w:val="00600A6D"/>
    <w:rsid w:val="00600D36"/>
    <w:rsid w:val="00601776"/>
    <w:rsid w:val="00601B1A"/>
    <w:rsid w:val="00601FFC"/>
    <w:rsid w:val="00603580"/>
    <w:rsid w:val="00604DCB"/>
    <w:rsid w:val="00604F22"/>
    <w:rsid w:val="0060587D"/>
    <w:rsid w:val="00605D7F"/>
    <w:rsid w:val="00605E40"/>
    <w:rsid w:val="00606577"/>
    <w:rsid w:val="006065E6"/>
    <w:rsid w:val="00606601"/>
    <w:rsid w:val="0060744A"/>
    <w:rsid w:val="00607C0F"/>
    <w:rsid w:val="00607F71"/>
    <w:rsid w:val="00610081"/>
    <w:rsid w:val="006100C4"/>
    <w:rsid w:val="00610C3F"/>
    <w:rsid w:val="006113F1"/>
    <w:rsid w:val="0061151D"/>
    <w:rsid w:val="00611682"/>
    <w:rsid w:val="00611C99"/>
    <w:rsid w:val="00611E56"/>
    <w:rsid w:val="00612017"/>
    <w:rsid w:val="00612F4C"/>
    <w:rsid w:val="00614354"/>
    <w:rsid w:val="006146A3"/>
    <w:rsid w:val="00614A89"/>
    <w:rsid w:val="0061507D"/>
    <w:rsid w:val="006155BD"/>
    <w:rsid w:val="006159AE"/>
    <w:rsid w:val="006161E0"/>
    <w:rsid w:val="006162B8"/>
    <w:rsid w:val="00616A42"/>
    <w:rsid w:val="00616E28"/>
    <w:rsid w:val="0061712A"/>
    <w:rsid w:val="00617627"/>
    <w:rsid w:val="00617ADC"/>
    <w:rsid w:val="006207CB"/>
    <w:rsid w:val="00620991"/>
    <w:rsid w:val="0062188D"/>
    <w:rsid w:val="00622080"/>
    <w:rsid w:val="00622949"/>
    <w:rsid w:val="00622C03"/>
    <w:rsid w:val="00622DF6"/>
    <w:rsid w:val="00623273"/>
    <w:rsid w:val="0062346A"/>
    <w:rsid w:val="00623706"/>
    <w:rsid w:val="00623F46"/>
    <w:rsid w:val="00624C98"/>
    <w:rsid w:val="00624D19"/>
    <w:rsid w:val="0062669E"/>
    <w:rsid w:val="00626814"/>
    <w:rsid w:val="00626C97"/>
    <w:rsid w:val="00626E15"/>
    <w:rsid w:val="00627168"/>
    <w:rsid w:val="00627F3F"/>
    <w:rsid w:val="00630E28"/>
    <w:rsid w:val="006327D2"/>
    <w:rsid w:val="00633463"/>
    <w:rsid w:val="0063398B"/>
    <w:rsid w:val="00633CC2"/>
    <w:rsid w:val="006341AD"/>
    <w:rsid w:val="00634A1C"/>
    <w:rsid w:val="00634D93"/>
    <w:rsid w:val="00635199"/>
    <w:rsid w:val="006357D4"/>
    <w:rsid w:val="00635EBE"/>
    <w:rsid w:val="00636C5B"/>
    <w:rsid w:val="00637350"/>
    <w:rsid w:val="006379B5"/>
    <w:rsid w:val="00637B02"/>
    <w:rsid w:val="00637D9A"/>
    <w:rsid w:val="006410DA"/>
    <w:rsid w:val="0064110C"/>
    <w:rsid w:val="0064152F"/>
    <w:rsid w:val="006415DD"/>
    <w:rsid w:val="0064209D"/>
    <w:rsid w:val="00642513"/>
    <w:rsid w:val="006434A0"/>
    <w:rsid w:val="00643935"/>
    <w:rsid w:val="00643E10"/>
    <w:rsid w:val="00644374"/>
    <w:rsid w:val="00644D75"/>
    <w:rsid w:val="00645B8F"/>
    <w:rsid w:val="00645F9A"/>
    <w:rsid w:val="0064688B"/>
    <w:rsid w:val="00647998"/>
    <w:rsid w:val="0065049D"/>
    <w:rsid w:val="006519F7"/>
    <w:rsid w:val="00651A42"/>
    <w:rsid w:val="00651B27"/>
    <w:rsid w:val="006524A3"/>
    <w:rsid w:val="00652E45"/>
    <w:rsid w:val="006536B2"/>
    <w:rsid w:val="00653932"/>
    <w:rsid w:val="00653E71"/>
    <w:rsid w:val="00654656"/>
    <w:rsid w:val="00655A3E"/>
    <w:rsid w:val="00656510"/>
    <w:rsid w:val="00656EFA"/>
    <w:rsid w:val="00657A3A"/>
    <w:rsid w:val="00660296"/>
    <w:rsid w:val="0066099B"/>
    <w:rsid w:val="00660ACF"/>
    <w:rsid w:val="00660E55"/>
    <w:rsid w:val="00661180"/>
    <w:rsid w:val="0066193D"/>
    <w:rsid w:val="00661CA5"/>
    <w:rsid w:val="00662221"/>
    <w:rsid w:val="006627F9"/>
    <w:rsid w:val="00662BA4"/>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78"/>
    <w:rsid w:val="00673D8E"/>
    <w:rsid w:val="00673FC5"/>
    <w:rsid w:val="006756A7"/>
    <w:rsid w:val="00675BCC"/>
    <w:rsid w:val="00677274"/>
    <w:rsid w:val="00677293"/>
    <w:rsid w:val="0067783E"/>
    <w:rsid w:val="00677C94"/>
    <w:rsid w:val="00677E9A"/>
    <w:rsid w:val="00680018"/>
    <w:rsid w:val="00680432"/>
    <w:rsid w:val="00680926"/>
    <w:rsid w:val="00680B23"/>
    <w:rsid w:val="00680B4D"/>
    <w:rsid w:val="00680C65"/>
    <w:rsid w:val="00680E06"/>
    <w:rsid w:val="0068167B"/>
    <w:rsid w:val="0068278C"/>
    <w:rsid w:val="0068295D"/>
    <w:rsid w:val="00682D1C"/>
    <w:rsid w:val="0068311D"/>
    <w:rsid w:val="00683684"/>
    <w:rsid w:val="00684249"/>
    <w:rsid w:val="006842A7"/>
    <w:rsid w:val="00684714"/>
    <w:rsid w:val="00684A60"/>
    <w:rsid w:val="00685ABF"/>
    <w:rsid w:val="00685B0E"/>
    <w:rsid w:val="00686027"/>
    <w:rsid w:val="00686EF8"/>
    <w:rsid w:val="0068789E"/>
    <w:rsid w:val="00687A6B"/>
    <w:rsid w:val="00687E46"/>
    <w:rsid w:val="00690D0C"/>
    <w:rsid w:val="00691854"/>
    <w:rsid w:val="00691D16"/>
    <w:rsid w:val="00692548"/>
    <w:rsid w:val="006925AE"/>
    <w:rsid w:val="00692F0C"/>
    <w:rsid w:val="006932CD"/>
    <w:rsid w:val="00693493"/>
    <w:rsid w:val="0069378D"/>
    <w:rsid w:val="00693C11"/>
    <w:rsid w:val="00693F11"/>
    <w:rsid w:val="00694578"/>
    <w:rsid w:val="006946B0"/>
    <w:rsid w:val="00694D60"/>
    <w:rsid w:val="00695A61"/>
    <w:rsid w:val="00695CBF"/>
    <w:rsid w:val="00695EE9"/>
    <w:rsid w:val="00695F61"/>
    <w:rsid w:val="00696175"/>
    <w:rsid w:val="006967D7"/>
    <w:rsid w:val="006969DF"/>
    <w:rsid w:val="006A01E3"/>
    <w:rsid w:val="006A07C3"/>
    <w:rsid w:val="006A135B"/>
    <w:rsid w:val="006A15F0"/>
    <w:rsid w:val="006A16BA"/>
    <w:rsid w:val="006A17CA"/>
    <w:rsid w:val="006A1BCD"/>
    <w:rsid w:val="006A1FA3"/>
    <w:rsid w:val="006A2150"/>
    <w:rsid w:val="006A28BC"/>
    <w:rsid w:val="006A2AA6"/>
    <w:rsid w:val="006A3CC0"/>
    <w:rsid w:val="006A47EC"/>
    <w:rsid w:val="006A485A"/>
    <w:rsid w:val="006A4890"/>
    <w:rsid w:val="006A4959"/>
    <w:rsid w:val="006A4EAE"/>
    <w:rsid w:val="006A698E"/>
    <w:rsid w:val="006A6E45"/>
    <w:rsid w:val="006B151D"/>
    <w:rsid w:val="006B1986"/>
    <w:rsid w:val="006B2591"/>
    <w:rsid w:val="006B31E1"/>
    <w:rsid w:val="006B3D00"/>
    <w:rsid w:val="006B527D"/>
    <w:rsid w:val="006B5525"/>
    <w:rsid w:val="006B5626"/>
    <w:rsid w:val="006B5A74"/>
    <w:rsid w:val="006B5B83"/>
    <w:rsid w:val="006B5C97"/>
    <w:rsid w:val="006B5D87"/>
    <w:rsid w:val="006B62A7"/>
    <w:rsid w:val="006B662A"/>
    <w:rsid w:val="006C0116"/>
    <w:rsid w:val="006C054D"/>
    <w:rsid w:val="006C0911"/>
    <w:rsid w:val="006C0B5E"/>
    <w:rsid w:val="006C0DA8"/>
    <w:rsid w:val="006C111E"/>
    <w:rsid w:val="006C1576"/>
    <w:rsid w:val="006C1D39"/>
    <w:rsid w:val="006C2505"/>
    <w:rsid w:val="006C2617"/>
    <w:rsid w:val="006C460E"/>
    <w:rsid w:val="006C4B16"/>
    <w:rsid w:val="006C5517"/>
    <w:rsid w:val="006C620E"/>
    <w:rsid w:val="006C6E4A"/>
    <w:rsid w:val="006C77E2"/>
    <w:rsid w:val="006D010B"/>
    <w:rsid w:val="006D0A95"/>
    <w:rsid w:val="006D1141"/>
    <w:rsid w:val="006D1B82"/>
    <w:rsid w:val="006D24F3"/>
    <w:rsid w:val="006D2693"/>
    <w:rsid w:val="006D2F02"/>
    <w:rsid w:val="006D3D44"/>
    <w:rsid w:val="006D4179"/>
    <w:rsid w:val="006D4483"/>
    <w:rsid w:val="006D4A41"/>
    <w:rsid w:val="006D52D3"/>
    <w:rsid w:val="006D5705"/>
    <w:rsid w:val="006D59C7"/>
    <w:rsid w:val="006D59E1"/>
    <w:rsid w:val="006D5EA8"/>
    <w:rsid w:val="006D75F2"/>
    <w:rsid w:val="006E043B"/>
    <w:rsid w:val="006E0977"/>
    <w:rsid w:val="006E0A42"/>
    <w:rsid w:val="006E0B7E"/>
    <w:rsid w:val="006E1280"/>
    <w:rsid w:val="006E291E"/>
    <w:rsid w:val="006E2FEC"/>
    <w:rsid w:val="006E320D"/>
    <w:rsid w:val="006E3306"/>
    <w:rsid w:val="006E3B3F"/>
    <w:rsid w:val="006E454E"/>
    <w:rsid w:val="006E4B32"/>
    <w:rsid w:val="006E50E4"/>
    <w:rsid w:val="006E52E3"/>
    <w:rsid w:val="006E5DF5"/>
    <w:rsid w:val="006E6963"/>
    <w:rsid w:val="006E6A2F"/>
    <w:rsid w:val="006E73AE"/>
    <w:rsid w:val="006E7EEC"/>
    <w:rsid w:val="006F06D9"/>
    <w:rsid w:val="006F1126"/>
    <w:rsid w:val="006F1C87"/>
    <w:rsid w:val="006F1E85"/>
    <w:rsid w:val="006F2563"/>
    <w:rsid w:val="006F2862"/>
    <w:rsid w:val="006F341C"/>
    <w:rsid w:val="006F341E"/>
    <w:rsid w:val="006F34E1"/>
    <w:rsid w:val="006F3CBD"/>
    <w:rsid w:val="006F4716"/>
    <w:rsid w:val="006F666A"/>
    <w:rsid w:val="006F6997"/>
    <w:rsid w:val="006F6DEB"/>
    <w:rsid w:val="006F70B1"/>
    <w:rsid w:val="006F76A2"/>
    <w:rsid w:val="006F7980"/>
    <w:rsid w:val="007005AE"/>
    <w:rsid w:val="00701000"/>
    <w:rsid w:val="007014F0"/>
    <w:rsid w:val="0070170D"/>
    <w:rsid w:val="007019FA"/>
    <w:rsid w:val="0070291A"/>
    <w:rsid w:val="00702DC0"/>
    <w:rsid w:val="00703344"/>
    <w:rsid w:val="00704223"/>
    <w:rsid w:val="00704313"/>
    <w:rsid w:val="00704D9C"/>
    <w:rsid w:val="00704E5D"/>
    <w:rsid w:val="0070538C"/>
    <w:rsid w:val="00705779"/>
    <w:rsid w:val="00705D3F"/>
    <w:rsid w:val="00705D8A"/>
    <w:rsid w:val="00707269"/>
    <w:rsid w:val="00707860"/>
    <w:rsid w:val="007109F7"/>
    <w:rsid w:val="007110DC"/>
    <w:rsid w:val="00711815"/>
    <w:rsid w:val="00711A42"/>
    <w:rsid w:val="00711C91"/>
    <w:rsid w:val="007123CF"/>
    <w:rsid w:val="007136C0"/>
    <w:rsid w:val="007150E4"/>
    <w:rsid w:val="007155B2"/>
    <w:rsid w:val="007156C9"/>
    <w:rsid w:val="00715C65"/>
    <w:rsid w:val="0071644D"/>
    <w:rsid w:val="00716808"/>
    <w:rsid w:val="007212C1"/>
    <w:rsid w:val="0072192B"/>
    <w:rsid w:val="00721CA3"/>
    <w:rsid w:val="007223E3"/>
    <w:rsid w:val="0072252B"/>
    <w:rsid w:val="0072259C"/>
    <w:rsid w:val="00722EB1"/>
    <w:rsid w:val="00723D60"/>
    <w:rsid w:val="007246D4"/>
    <w:rsid w:val="007257F9"/>
    <w:rsid w:val="007259BF"/>
    <w:rsid w:val="00725FDB"/>
    <w:rsid w:val="007265EF"/>
    <w:rsid w:val="00726639"/>
    <w:rsid w:val="00726AEC"/>
    <w:rsid w:val="007304A1"/>
    <w:rsid w:val="0073097F"/>
    <w:rsid w:val="00730C28"/>
    <w:rsid w:val="00730E25"/>
    <w:rsid w:val="00731669"/>
    <w:rsid w:val="00731FD5"/>
    <w:rsid w:val="00732386"/>
    <w:rsid w:val="00732517"/>
    <w:rsid w:val="00733083"/>
    <w:rsid w:val="0073317D"/>
    <w:rsid w:val="007337E7"/>
    <w:rsid w:val="007347E5"/>
    <w:rsid w:val="00734DB5"/>
    <w:rsid w:val="007359FA"/>
    <w:rsid w:val="0073620A"/>
    <w:rsid w:val="0073680F"/>
    <w:rsid w:val="00736AFE"/>
    <w:rsid w:val="00737D73"/>
    <w:rsid w:val="0074049A"/>
    <w:rsid w:val="00740841"/>
    <w:rsid w:val="00742030"/>
    <w:rsid w:val="00743DF2"/>
    <w:rsid w:val="007442E8"/>
    <w:rsid w:val="007447C6"/>
    <w:rsid w:val="00744E62"/>
    <w:rsid w:val="007451DA"/>
    <w:rsid w:val="00745257"/>
    <w:rsid w:val="007462BF"/>
    <w:rsid w:val="00747218"/>
    <w:rsid w:val="007476EE"/>
    <w:rsid w:val="00747B6E"/>
    <w:rsid w:val="007505A4"/>
    <w:rsid w:val="0075155C"/>
    <w:rsid w:val="00752382"/>
    <w:rsid w:val="00752424"/>
    <w:rsid w:val="00752730"/>
    <w:rsid w:val="00752976"/>
    <w:rsid w:val="00753527"/>
    <w:rsid w:val="0075478E"/>
    <w:rsid w:val="00754795"/>
    <w:rsid w:val="007550AD"/>
    <w:rsid w:val="00755122"/>
    <w:rsid w:val="007553FE"/>
    <w:rsid w:val="00755B76"/>
    <w:rsid w:val="0075676C"/>
    <w:rsid w:val="00756F0B"/>
    <w:rsid w:val="00756FF1"/>
    <w:rsid w:val="00757D5B"/>
    <w:rsid w:val="00760A3A"/>
    <w:rsid w:val="00761047"/>
    <w:rsid w:val="007619B6"/>
    <w:rsid w:val="0076238C"/>
    <w:rsid w:val="007625AC"/>
    <w:rsid w:val="00762AA5"/>
    <w:rsid w:val="0076350B"/>
    <w:rsid w:val="007642DF"/>
    <w:rsid w:val="00764C0C"/>
    <w:rsid w:val="00765C85"/>
    <w:rsid w:val="00765DA8"/>
    <w:rsid w:val="00765EA8"/>
    <w:rsid w:val="00766665"/>
    <w:rsid w:val="0076670C"/>
    <w:rsid w:val="007674D1"/>
    <w:rsid w:val="00767740"/>
    <w:rsid w:val="00767845"/>
    <w:rsid w:val="007702C8"/>
    <w:rsid w:val="00770417"/>
    <w:rsid w:val="00770556"/>
    <w:rsid w:val="007716B1"/>
    <w:rsid w:val="00771CE5"/>
    <w:rsid w:val="00771D8A"/>
    <w:rsid w:val="00771E0B"/>
    <w:rsid w:val="00772715"/>
    <w:rsid w:val="0077344D"/>
    <w:rsid w:val="00773783"/>
    <w:rsid w:val="00773C2A"/>
    <w:rsid w:val="00774368"/>
    <w:rsid w:val="0077451D"/>
    <w:rsid w:val="00774C01"/>
    <w:rsid w:val="00774CA1"/>
    <w:rsid w:val="00776435"/>
    <w:rsid w:val="0077694A"/>
    <w:rsid w:val="00776C23"/>
    <w:rsid w:val="00777363"/>
    <w:rsid w:val="00777FB4"/>
    <w:rsid w:val="00780493"/>
    <w:rsid w:val="007804B9"/>
    <w:rsid w:val="007804C9"/>
    <w:rsid w:val="00780D45"/>
    <w:rsid w:val="00781010"/>
    <w:rsid w:val="00781084"/>
    <w:rsid w:val="007812B4"/>
    <w:rsid w:val="00781A81"/>
    <w:rsid w:val="00781B55"/>
    <w:rsid w:val="00781D5F"/>
    <w:rsid w:val="00782926"/>
    <w:rsid w:val="00782945"/>
    <w:rsid w:val="00782C7B"/>
    <w:rsid w:val="00783294"/>
    <w:rsid w:val="007835FC"/>
    <w:rsid w:val="00784263"/>
    <w:rsid w:val="00785E3E"/>
    <w:rsid w:val="00787931"/>
    <w:rsid w:val="00787996"/>
    <w:rsid w:val="00787B04"/>
    <w:rsid w:val="00787B9B"/>
    <w:rsid w:val="00787D50"/>
    <w:rsid w:val="00790594"/>
    <w:rsid w:val="00790ABA"/>
    <w:rsid w:val="00790E88"/>
    <w:rsid w:val="007910ED"/>
    <w:rsid w:val="00791391"/>
    <w:rsid w:val="00791A1C"/>
    <w:rsid w:val="00793E43"/>
    <w:rsid w:val="0079433D"/>
    <w:rsid w:val="007944FB"/>
    <w:rsid w:val="007946AC"/>
    <w:rsid w:val="00795604"/>
    <w:rsid w:val="00795FA1"/>
    <w:rsid w:val="00796379"/>
    <w:rsid w:val="00796834"/>
    <w:rsid w:val="00796E1C"/>
    <w:rsid w:val="00797406"/>
    <w:rsid w:val="00797744"/>
    <w:rsid w:val="007A08BF"/>
    <w:rsid w:val="007A17FB"/>
    <w:rsid w:val="007A1B71"/>
    <w:rsid w:val="007A1BC7"/>
    <w:rsid w:val="007A1DD7"/>
    <w:rsid w:val="007A24E0"/>
    <w:rsid w:val="007A2E0B"/>
    <w:rsid w:val="007A3E03"/>
    <w:rsid w:val="007A5622"/>
    <w:rsid w:val="007A5CCA"/>
    <w:rsid w:val="007A5D4D"/>
    <w:rsid w:val="007A5EE1"/>
    <w:rsid w:val="007A6D31"/>
    <w:rsid w:val="007A6D78"/>
    <w:rsid w:val="007B00EA"/>
    <w:rsid w:val="007B07AE"/>
    <w:rsid w:val="007B0ED4"/>
    <w:rsid w:val="007B1E76"/>
    <w:rsid w:val="007B2C9B"/>
    <w:rsid w:val="007B34ED"/>
    <w:rsid w:val="007B3565"/>
    <w:rsid w:val="007B44F9"/>
    <w:rsid w:val="007B4B78"/>
    <w:rsid w:val="007B4B87"/>
    <w:rsid w:val="007B5CDE"/>
    <w:rsid w:val="007B5EFE"/>
    <w:rsid w:val="007B5F4A"/>
    <w:rsid w:val="007B6604"/>
    <w:rsid w:val="007B68D7"/>
    <w:rsid w:val="007B6BC6"/>
    <w:rsid w:val="007B6D13"/>
    <w:rsid w:val="007B77A7"/>
    <w:rsid w:val="007B7A97"/>
    <w:rsid w:val="007C0172"/>
    <w:rsid w:val="007C048D"/>
    <w:rsid w:val="007C05A9"/>
    <w:rsid w:val="007C0613"/>
    <w:rsid w:val="007C0ADA"/>
    <w:rsid w:val="007C1983"/>
    <w:rsid w:val="007C1AC4"/>
    <w:rsid w:val="007C21BD"/>
    <w:rsid w:val="007C2E9F"/>
    <w:rsid w:val="007C2EA7"/>
    <w:rsid w:val="007C459A"/>
    <w:rsid w:val="007C4E48"/>
    <w:rsid w:val="007C5AC8"/>
    <w:rsid w:val="007C656D"/>
    <w:rsid w:val="007C68D6"/>
    <w:rsid w:val="007C69E0"/>
    <w:rsid w:val="007C790C"/>
    <w:rsid w:val="007D131F"/>
    <w:rsid w:val="007D132E"/>
    <w:rsid w:val="007D156A"/>
    <w:rsid w:val="007D22FF"/>
    <w:rsid w:val="007D29D8"/>
    <w:rsid w:val="007D3E78"/>
    <w:rsid w:val="007D3E93"/>
    <w:rsid w:val="007D405F"/>
    <w:rsid w:val="007D4221"/>
    <w:rsid w:val="007D43C9"/>
    <w:rsid w:val="007D49D9"/>
    <w:rsid w:val="007D56EB"/>
    <w:rsid w:val="007D5872"/>
    <w:rsid w:val="007D6F20"/>
    <w:rsid w:val="007E0105"/>
    <w:rsid w:val="007E0266"/>
    <w:rsid w:val="007E1269"/>
    <w:rsid w:val="007E1901"/>
    <w:rsid w:val="007E2305"/>
    <w:rsid w:val="007E25BD"/>
    <w:rsid w:val="007E27E9"/>
    <w:rsid w:val="007E282A"/>
    <w:rsid w:val="007E3F14"/>
    <w:rsid w:val="007E418A"/>
    <w:rsid w:val="007E4674"/>
    <w:rsid w:val="007E563F"/>
    <w:rsid w:val="007E57A7"/>
    <w:rsid w:val="007E5A8A"/>
    <w:rsid w:val="007E6837"/>
    <w:rsid w:val="007E6CC6"/>
    <w:rsid w:val="007E7727"/>
    <w:rsid w:val="007E7DB0"/>
    <w:rsid w:val="007F0276"/>
    <w:rsid w:val="007F0C3D"/>
    <w:rsid w:val="007F16C4"/>
    <w:rsid w:val="007F27BB"/>
    <w:rsid w:val="007F2936"/>
    <w:rsid w:val="007F2F44"/>
    <w:rsid w:val="007F3377"/>
    <w:rsid w:val="007F34A9"/>
    <w:rsid w:val="007F35A6"/>
    <w:rsid w:val="007F3D92"/>
    <w:rsid w:val="007F3FE6"/>
    <w:rsid w:val="007F41A2"/>
    <w:rsid w:val="007F49B0"/>
    <w:rsid w:val="007F4EE2"/>
    <w:rsid w:val="007F6436"/>
    <w:rsid w:val="007F6BD5"/>
    <w:rsid w:val="007F79FE"/>
    <w:rsid w:val="007F7D0E"/>
    <w:rsid w:val="007F7DB2"/>
    <w:rsid w:val="00800FA3"/>
    <w:rsid w:val="00802F81"/>
    <w:rsid w:val="008041CD"/>
    <w:rsid w:val="008041F1"/>
    <w:rsid w:val="00804913"/>
    <w:rsid w:val="00804D8E"/>
    <w:rsid w:val="00804FA3"/>
    <w:rsid w:val="008051D9"/>
    <w:rsid w:val="0080528B"/>
    <w:rsid w:val="008053A3"/>
    <w:rsid w:val="008062DB"/>
    <w:rsid w:val="008070B0"/>
    <w:rsid w:val="00807286"/>
    <w:rsid w:val="00807378"/>
    <w:rsid w:val="0080752B"/>
    <w:rsid w:val="0080795D"/>
    <w:rsid w:val="00807C36"/>
    <w:rsid w:val="0081003D"/>
    <w:rsid w:val="00812038"/>
    <w:rsid w:val="00812549"/>
    <w:rsid w:val="00812643"/>
    <w:rsid w:val="00812E0D"/>
    <w:rsid w:val="00813656"/>
    <w:rsid w:val="00813FC9"/>
    <w:rsid w:val="008145BA"/>
    <w:rsid w:val="00815753"/>
    <w:rsid w:val="008164DE"/>
    <w:rsid w:val="00817042"/>
    <w:rsid w:val="008174A4"/>
    <w:rsid w:val="00820FCA"/>
    <w:rsid w:val="008216E6"/>
    <w:rsid w:val="008217E5"/>
    <w:rsid w:val="00821824"/>
    <w:rsid w:val="00821A2D"/>
    <w:rsid w:val="008221EF"/>
    <w:rsid w:val="00822663"/>
    <w:rsid w:val="00822F15"/>
    <w:rsid w:val="00823808"/>
    <w:rsid w:val="00823A9F"/>
    <w:rsid w:val="00823D73"/>
    <w:rsid w:val="008271B8"/>
    <w:rsid w:val="008278BE"/>
    <w:rsid w:val="008279F8"/>
    <w:rsid w:val="00827B1F"/>
    <w:rsid w:val="00830432"/>
    <w:rsid w:val="00830472"/>
    <w:rsid w:val="00830584"/>
    <w:rsid w:val="00830CA5"/>
    <w:rsid w:val="00830ED6"/>
    <w:rsid w:val="00831096"/>
    <w:rsid w:val="00831165"/>
    <w:rsid w:val="0083121A"/>
    <w:rsid w:val="008312C0"/>
    <w:rsid w:val="0083154C"/>
    <w:rsid w:val="00832F23"/>
    <w:rsid w:val="008331CE"/>
    <w:rsid w:val="00833215"/>
    <w:rsid w:val="008348E7"/>
    <w:rsid w:val="00834BF3"/>
    <w:rsid w:val="0083500E"/>
    <w:rsid w:val="0083545F"/>
    <w:rsid w:val="0083582D"/>
    <w:rsid w:val="00835DCD"/>
    <w:rsid w:val="00836106"/>
    <w:rsid w:val="00836117"/>
    <w:rsid w:val="00836411"/>
    <w:rsid w:val="00837DB3"/>
    <w:rsid w:val="00840862"/>
    <w:rsid w:val="00840AE1"/>
    <w:rsid w:val="00840F96"/>
    <w:rsid w:val="00841136"/>
    <w:rsid w:val="008413A0"/>
    <w:rsid w:val="008414C4"/>
    <w:rsid w:val="00843015"/>
    <w:rsid w:val="00843406"/>
    <w:rsid w:val="008440F7"/>
    <w:rsid w:val="0084418C"/>
    <w:rsid w:val="00844254"/>
    <w:rsid w:val="008453BC"/>
    <w:rsid w:val="00846057"/>
    <w:rsid w:val="00846426"/>
    <w:rsid w:val="00846616"/>
    <w:rsid w:val="00846ABA"/>
    <w:rsid w:val="00846CB9"/>
    <w:rsid w:val="0084752D"/>
    <w:rsid w:val="00847C33"/>
    <w:rsid w:val="008507CF"/>
    <w:rsid w:val="00850E85"/>
    <w:rsid w:val="00851FE0"/>
    <w:rsid w:val="008524D6"/>
    <w:rsid w:val="00852623"/>
    <w:rsid w:val="008526EC"/>
    <w:rsid w:val="00852CBF"/>
    <w:rsid w:val="0085308E"/>
    <w:rsid w:val="00853A0E"/>
    <w:rsid w:val="00854588"/>
    <w:rsid w:val="0085604C"/>
    <w:rsid w:val="008561D3"/>
    <w:rsid w:val="00857059"/>
    <w:rsid w:val="0085720F"/>
    <w:rsid w:val="008573BE"/>
    <w:rsid w:val="00860090"/>
    <w:rsid w:val="00861FEC"/>
    <w:rsid w:val="00863696"/>
    <w:rsid w:val="0086376D"/>
    <w:rsid w:val="0086405D"/>
    <w:rsid w:val="00864C0F"/>
    <w:rsid w:val="00864CF5"/>
    <w:rsid w:val="00865531"/>
    <w:rsid w:val="0086560D"/>
    <w:rsid w:val="008665FF"/>
    <w:rsid w:val="00867AAE"/>
    <w:rsid w:val="00867B7D"/>
    <w:rsid w:val="00867D3C"/>
    <w:rsid w:val="0087035B"/>
    <w:rsid w:val="00870B51"/>
    <w:rsid w:val="00870D57"/>
    <w:rsid w:val="0087146A"/>
    <w:rsid w:val="008716CE"/>
    <w:rsid w:val="008718AC"/>
    <w:rsid w:val="00871922"/>
    <w:rsid w:val="00871B8A"/>
    <w:rsid w:val="00871E0B"/>
    <w:rsid w:val="008729B5"/>
    <w:rsid w:val="00873545"/>
    <w:rsid w:val="0087399A"/>
    <w:rsid w:val="00874215"/>
    <w:rsid w:val="00874868"/>
    <w:rsid w:val="0087490E"/>
    <w:rsid w:val="00874A71"/>
    <w:rsid w:val="00874E71"/>
    <w:rsid w:val="008761C7"/>
    <w:rsid w:val="008774E5"/>
    <w:rsid w:val="00877891"/>
    <w:rsid w:val="0088023E"/>
    <w:rsid w:val="008804E2"/>
    <w:rsid w:val="008809A5"/>
    <w:rsid w:val="00880CA2"/>
    <w:rsid w:val="00881CA4"/>
    <w:rsid w:val="00881D39"/>
    <w:rsid w:val="008822D7"/>
    <w:rsid w:val="00882C43"/>
    <w:rsid w:val="00882CC9"/>
    <w:rsid w:val="008835A9"/>
    <w:rsid w:val="0088389E"/>
    <w:rsid w:val="00884019"/>
    <w:rsid w:val="00885319"/>
    <w:rsid w:val="00885476"/>
    <w:rsid w:val="00885CFE"/>
    <w:rsid w:val="008865DD"/>
    <w:rsid w:val="00887377"/>
    <w:rsid w:val="00887502"/>
    <w:rsid w:val="00887E02"/>
    <w:rsid w:val="00890E8C"/>
    <w:rsid w:val="00891785"/>
    <w:rsid w:val="008929C2"/>
    <w:rsid w:val="00892C28"/>
    <w:rsid w:val="008939FD"/>
    <w:rsid w:val="008940CA"/>
    <w:rsid w:val="00894415"/>
    <w:rsid w:val="0089477A"/>
    <w:rsid w:val="0089563C"/>
    <w:rsid w:val="00895748"/>
    <w:rsid w:val="008968F4"/>
    <w:rsid w:val="0089698C"/>
    <w:rsid w:val="00896A38"/>
    <w:rsid w:val="00896C83"/>
    <w:rsid w:val="00897417"/>
    <w:rsid w:val="00897D19"/>
    <w:rsid w:val="00897E26"/>
    <w:rsid w:val="008A0064"/>
    <w:rsid w:val="008A01B3"/>
    <w:rsid w:val="008A0DA3"/>
    <w:rsid w:val="008A115E"/>
    <w:rsid w:val="008A157C"/>
    <w:rsid w:val="008A164C"/>
    <w:rsid w:val="008A2AEE"/>
    <w:rsid w:val="008A2E96"/>
    <w:rsid w:val="008A5485"/>
    <w:rsid w:val="008A599B"/>
    <w:rsid w:val="008A618D"/>
    <w:rsid w:val="008A633A"/>
    <w:rsid w:val="008A652F"/>
    <w:rsid w:val="008A6AA4"/>
    <w:rsid w:val="008A759D"/>
    <w:rsid w:val="008A778E"/>
    <w:rsid w:val="008A7E10"/>
    <w:rsid w:val="008B0005"/>
    <w:rsid w:val="008B02EF"/>
    <w:rsid w:val="008B030A"/>
    <w:rsid w:val="008B082A"/>
    <w:rsid w:val="008B08EC"/>
    <w:rsid w:val="008B0913"/>
    <w:rsid w:val="008B0AAE"/>
    <w:rsid w:val="008B0ED6"/>
    <w:rsid w:val="008B0F9D"/>
    <w:rsid w:val="008B1CA1"/>
    <w:rsid w:val="008B23AE"/>
    <w:rsid w:val="008B2475"/>
    <w:rsid w:val="008B2E04"/>
    <w:rsid w:val="008B4306"/>
    <w:rsid w:val="008B4CAA"/>
    <w:rsid w:val="008B5DFD"/>
    <w:rsid w:val="008B5EA6"/>
    <w:rsid w:val="008B61D5"/>
    <w:rsid w:val="008B61F6"/>
    <w:rsid w:val="008B6ABD"/>
    <w:rsid w:val="008B732B"/>
    <w:rsid w:val="008B77C9"/>
    <w:rsid w:val="008B7A36"/>
    <w:rsid w:val="008B7B8D"/>
    <w:rsid w:val="008B7BF0"/>
    <w:rsid w:val="008C0120"/>
    <w:rsid w:val="008C0FB9"/>
    <w:rsid w:val="008C1042"/>
    <w:rsid w:val="008C162B"/>
    <w:rsid w:val="008C1714"/>
    <w:rsid w:val="008C1B76"/>
    <w:rsid w:val="008C2391"/>
    <w:rsid w:val="008C27EC"/>
    <w:rsid w:val="008C2ED5"/>
    <w:rsid w:val="008C306C"/>
    <w:rsid w:val="008C3135"/>
    <w:rsid w:val="008C3E2C"/>
    <w:rsid w:val="008C5AC7"/>
    <w:rsid w:val="008C5C83"/>
    <w:rsid w:val="008C5EDB"/>
    <w:rsid w:val="008C615C"/>
    <w:rsid w:val="008C6215"/>
    <w:rsid w:val="008C65F0"/>
    <w:rsid w:val="008C7282"/>
    <w:rsid w:val="008C733D"/>
    <w:rsid w:val="008D0DB4"/>
    <w:rsid w:val="008D1A52"/>
    <w:rsid w:val="008D2E91"/>
    <w:rsid w:val="008D38E9"/>
    <w:rsid w:val="008D412A"/>
    <w:rsid w:val="008D41B8"/>
    <w:rsid w:val="008D4434"/>
    <w:rsid w:val="008D48C6"/>
    <w:rsid w:val="008D4A05"/>
    <w:rsid w:val="008D51E4"/>
    <w:rsid w:val="008D557B"/>
    <w:rsid w:val="008D6F21"/>
    <w:rsid w:val="008D71AC"/>
    <w:rsid w:val="008D7448"/>
    <w:rsid w:val="008D74AC"/>
    <w:rsid w:val="008D7AE7"/>
    <w:rsid w:val="008E0326"/>
    <w:rsid w:val="008E0593"/>
    <w:rsid w:val="008E15EC"/>
    <w:rsid w:val="008E18CD"/>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C1C"/>
    <w:rsid w:val="008E7D7C"/>
    <w:rsid w:val="008F0097"/>
    <w:rsid w:val="008F0BC4"/>
    <w:rsid w:val="008F1594"/>
    <w:rsid w:val="008F2449"/>
    <w:rsid w:val="008F290E"/>
    <w:rsid w:val="008F2EC0"/>
    <w:rsid w:val="008F44DB"/>
    <w:rsid w:val="008F4615"/>
    <w:rsid w:val="008F4ABC"/>
    <w:rsid w:val="008F591D"/>
    <w:rsid w:val="008F5FF8"/>
    <w:rsid w:val="008F60F8"/>
    <w:rsid w:val="008F619B"/>
    <w:rsid w:val="008F7199"/>
    <w:rsid w:val="008F74BB"/>
    <w:rsid w:val="008F7728"/>
    <w:rsid w:val="008F7CB6"/>
    <w:rsid w:val="00900066"/>
    <w:rsid w:val="009007FB"/>
    <w:rsid w:val="00900807"/>
    <w:rsid w:val="009008A9"/>
    <w:rsid w:val="00901452"/>
    <w:rsid w:val="00901740"/>
    <w:rsid w:val="00901D78"/>
    <w:rsid w:val="00901D92"/>
    <w:rsid w:val="00902A5D"/>
    <w:rsid w:val="00903003"/>
    <w:rsid w:val="00903C90"/>
    <w:rsid w:val="009041B8"/>
    <w:rsid w:val="009048D8"/>
    <w:rsid w:val="00904FF8"/>
    <w:rsid w:val="00905040"/>
    <w:rsid w:val="009052AA"/>
    <w:rsid w:val="00905A05"/>
    <w:rsid w:val="00906A75"/>
    <w:rsid w:val="00906F11"/>
    <w:rsid w:val="00907267"/>
    <w:rsid w:val="00907318"/>
    <w:rsid w:val="0090773A"/>
    <w:rsid w:val="009106BC"/>
    <w:rsid w:val="0091177E"/>
    <w:rsid w:val="0091193A"/>
    <w:rsid w:val="00911DE6"/>
    <w:rsid w:val="0091227A"/>
    <w:rsid w:val="009123E5"/>
    <w:rsid w:val="00912C01"/>
    <w:rsid w:val="00912C67"/>
    <w:rsid w:val="0091308A"/>
    <w:rsid w:val="009130AF"/>
    <w:rsid w:val="00913546"/>
    <w:rsid w:val="009141A9"/>
    <w:rsid w:val="00914BDB"/>
    <w:rsid w:val="0091673E"/>
    <w:rsid w:val="00916C77"/>
    <w:rsid w:val="00916FAA"/>
    <w:rsid w:val="009177DF"/>
    <w:rsid w:val="0091798B"/>
    <w:rsid w:val="00917C22"/>
    <w:rsid w:val="009203E8"/>
    <w:rsid w:val="00920617"/>
    <w:rsid w:val="00920827"/>
    <w:rsid w:val="00920AC6"/>
    <w:rsid w:val="00921152"/>
    <w:rsid w:val="00921423"/>
    <w:rsid w:val="009216DB"/>
    <w:rsid w:val="0092246B"/>
    <w:rsid w:val="00922AE7"/>
    <w:rsid w:val="00924CFF"/>
    <w:rsid w:val="00925750"/>
    <w:rsid w:val="00925DB8"/>
    <w:rsid w:val="00925F7D"/>
    <w:rsid w:val="009260E8"/>
    <w:rsid w:val="009266AF"/>
    <w:rsid w:val="009267F8"/>
    <w:rsid w:val="00927552"/>
    <w:rsid w:val="009279DF"/>
    <w:rsid w:val="00927E1E"/>
    <w:rsid w:val="00927E3F"/>
    <w:rsid w:val="009308E9"/>
    <w:rsid w:val="00930A79"/>
    <w:rsid w:val="00930AEA"/>
    <w:rsid w:val="00930B49"/>
    <w:rsid w:val="00930D5E"/>
    <w:rsid w:val="00931AF3"/>
    <w:rsid w:val="00931F98"/>
    <w:rsid w:val="009325B8"/>
    <w:rsid w:val="0093270E"/>
    <w:rsid w:val="00934067"/>
    <w:rsid w:val="009341F9"/>
    <w:rsid w:val="00934B9C"/>
    <w:rsid w:val="0093687F"/>
    <w:rsid w:val="009377C8"/>
    <w:rsid w:val="009406FC"/>
    <w:rsid w:val="0094248A"/>
    <w:rsid w:val="00942A7E"/>
    <w:rsid w:val="00942C5A"/>
    <w:rsid w:val="00943212"/>
    <w:rsid w:val="00943761"/>
    <w:rsid w:val="00943F45"/>
    <w:rsid w:val="0094401B"/>
    <w:rsid w:val="009446CB"/>
    <w:rsid w:val="00944F89"/>
    <w:rsid w:val="0094502F"/>
    <w:rsid w:val="00946A93"/>
    <w:rsid w:val="00946ED5"/>
    <w:rsid w:val="009470DA"/>
    <w:rsid w:val="009472AC"/>
    <w:rsid w:val="0095090E"/>
    <w:rsid w:val="009517E6"/>
    <w:rsid w:val="0095190C"/>
    <w:rsid w:val="00951EE6"/>
    <w:rsid w:val="00952919"/>
    <w:rsid w:val="00952D09"/>
    <w:rsid w:val="00953229"/>
    <w:rsid w:val="00953739"/>
    <w:rsid w:val="0095373D"/>
    <w:rsid w:val="00953775"/>
    <w:rsid w:val="00954022"/>
    <w:rsid w:val="00954232"/>
    <w:rsid w:val="00954942"/>
    <w:rsid w:val="00955A9E"/>
    <w:rsid w:val="00956918"/>
    <w:rsid w:val="00956AFC"/>
    <w:rsid w:val="00957253"/>
    <w:rsid w:val="00957C2A"/>
    <w:rsid w:val="00957E4A"/>
    <w:rsid w:val="00957FF7"/>
    <w:rsid w:val="009612D6"/>
    <w:rsid w:val="009619AC"/>
    <w:rsid w:val="00963DD8"/>
    <w:rsid w:val="00963E11"/>
    <w:rsid w:val="00963E43"/>
    <w:rsid w:val="009656FC"/>
    <w:rsid w:val="00965718"/>
    <w:rsid w:val="00965777"/>
    <w:rsid w:val="00966040"/>
    <w:rsid w:val="00966074"/>
    <w:rsid w:val="00966F48"/>
    <w:rsid w:val="009677CB"/>
    <w:rsid w:val="009703A9"/>
    <w:rsid w:val="009708AE"/>
    <w:rsid w:val="00971220"/>
    <w:rsid w:val="00971DC1"/>
    <w:rsid w:val="00972D21"/>
    <w:rsid w:val="00972F1C"/>
    <w:rsid w:val="00973243"/>
    <w:rsid w:val="00973595"/>
    <w:rsid w:val="00973E7C"/>
    <w:rsid w:val="00974563"/>
    <w:rsid w:val="00974D6F"/>
    <w:rsid w:val="009752E2"/>
    <w:rsid w:val="009757C2"/>
    <w:rsid w:val="009759E2"/>
    <w:rsid w:val="00976456"/>
    <w:rsid w:val="00976475"/>
    <w:rsid w:val="0097769C"/>
    <w:rsid w:val="00977A83"/>
    <w:rsid w:val="00980207"/>
    <w:rsid w:val="00980AC9"/>
    <w:rsid w:val="009811FF"/>
    <w:rsid w:val="0098146F"/>
    <w:rsid w:val="00981B7C"/>
    <w:rsid w:val="00982191"/>
    <w:rsid w:val="0098222D"/>
    <w:rsid w:val="009825E8"/>
    <w:rsid w:val="00984383"/>
    <w:rsid w:val="009848F2"/>
    <w:rsid w:val="00984B31"/>
    <w:rsid w:val="00984D78"/>
    <w:rsid w:val="009857C8"/>
    <w:rsid w:val="00985F6A"/>
    <w:rsid w:val="00986400"/>
    <w:rsid w:val="009872B9"/>
    <w:rsid w:val="009908F0"/>
    <w:rsid w:val="0099101D"/>
    <w:rsid w:val="009919D2"/>
    <w:rsid w:val="00991E89"/>
    <w:rsid w:val="00992355"/>
    <w:rsid w:val="00992E15"/>
    <w:rsid w:val="00993957"/>
    <w:rsid w:val="00993A1E"/>
    <w:rsid w:val="009946E6"/>
    <w:rsid w:val="0099471C"/>
    <w:rsid w:val="00994842"/>
    <w:rsid w:val="00995A2A"/>
    <w:rsid w:val="009960E7"/>
    <w:rsid w:val="009964D4"/>
    <w:rsid w:val="00996786"/>
    <w:rsid w:val="0099687F"/>
    <w:rsid w:val="00996DF3"/>
    <w:rsid w:val="009977DE"/>
    <w:rsid w:val="009A02C6"/>
    <w:rsid w:val="009A09F9"/>
    <w:rsid w:val="009A0C93"/>
    <w:rsid w:val="009A1515"/>
    <w:rsid w:val="009A167F"/>
    <w:rsid w:val="009A1CED"/>
    <w:rsid w:val="009A22F9"/>
    <w:rsid w:val="009A27A1"/>
    <w:rsid w:val="009A306C"/>
    <w:rsid w:val="009A32C6"/>
    <w:rsid w:val="009A38BC"/>
    <w:rsid w:val="009A48E0"/>
    <w:rsid w:val="009A4B03"/>
    <w:rsid w:val="009A573F"/>
    <w:rsid w:val="009A58E9"/>
    <w:rsid w:val="009A72F9"/>
    <w:rsid w:val="009A7769"/>
    <w:rsid w:val="009A7BA1"/>
    <w:rsid w:val="009A7C4E"/>
    <w:rsid w:val="009A7F90"/>
    <w:rsid w:val="009B0F82"/>
    <w:rsid w:val="009B10D0"/>
    <w:rsid w:val="009B1360"/>
    <w:rsid w:val="009B1D48"/>
    <w:rsid w:val="009B2B26"/>
    <w:rsid w:val="009B3712"/>
    <w:rsid w:val="009B373A"/>
    <w:rsid w:val="009B3FD1"/>
    <w:rsid w:val="009B4528"/>
    <w:rsid w:val="009B462A"/>
    <w:rsid w:val="009B5519"/>
    <w:rsid w:val="009B5625"/>
    <w:rsid w:val="009B56B6"/>
    <w:rsid w:val="009B6B6C"/>
    <w:rsid w:val="009B6EAB"/>
    <w:rsid w:val="009B7110"/>
    <w:rsid w:val="009B719A"/>
    <w:rsid w:val="009C0242"/>
    <w:rsid w:val="009C07AD"/>
    <w:rsid w:val="009C0E0B"/>
    <w:rsid w:val="009C1263"/>
    <w:rsid w:val="009C1D1F"/>
    <w:rsid w:val="009C1F0E"/>
    <w:rsid w:val="009C2439"/>
    <w:rsid w:val="009C2499"/>
    <w:rsid w:val="009C2E11"/>
    <w:rsid w:val="009C332D"/>
    <w:rsid w:val="009C3571"/>
    <w:rsid w:val="009C3946"/>
    <w:rsid w:val="009C3BA8"/>
    <w:rsid w:val="009C45A3"/>
    <w:rsid w:val="009C4DC6"/>
    <w:rsid w:val="009C4F47"/>
    <w:rsid w:val="009C5748"/>
    <w:rsid w:val="009C6082"/>
    <w:rsid w:val="009C64EA"/>
    <w:rsid w:val="009C691E"/>
    <w:rsid w:val="009C6E3D"/>
    <w:rsid w:val="009C7344"/>
    <w:rsid w:val="009C7B65"/>
    <w:rsid w:val="009C7CF0"/>
    <w:rsid w:val="009D036D"/>
    <w:rsid w:val="009D06D9"/>
    <w:rsid w:val="009D06EB"/>
    <w:rsid w:val="009D0A68"/>
    <w:rsid w:val="009D1928"/>
    <w:rsid w:val="009D2211"/>
    <w:rsid w:val="009D3DF1"/>
    <w:rsid w:val="009D47A1"/>
    <w:rsid w:val="009D47AA"/>
    <w:rsid w:val="009D48DC"/>
    <w:rsid w:val="009D4EA1"/>
    <w:rsid w:val="009D50D3"/>
    <w:rsid w:val="009D55C7"/>
    <w:rsid w:val="009D5749"/>
    <w:rsid w:val="009D594D"/>
    <w:rsid w:val="009D5C3B"/>
    <w:rsid w:val="009D5C8A"/>
    <w:rsid w:val="009D6328"/>
    <w:rsid w:val="009D6F05"/>
    <w:rsid w:val="009D6FC5"/>
    <w:rsid w:val="009D7029"/>
    <w:rsid w:val="009D75E4"/>
    <w:rsid w:val="009D7B07"/>
    <w:rsid w:val="009D7B57"/>
    <w:rsid w:val="009D7DA3"/>
    <w:rsid w:val="009D7FEA"/>
    <w:rsid w:val="009E03FE"/>
    <w:rsid w:val="009E0C69"/>
    <w:rsid w:val="009E149B"/>
    <w:rsid w:val="009E1894"/>
    <w:rsid w:val="009E1DC1"/>
    <w:rsid w:val="009E23AA"/>
    <w:rsid w:val="009E2B16"/>
    <w:rsid w:val="009E2BA6"/>
    <w:rsid w:val="009E2BF8"/>
    <w:rsid w:val="009E2D49"/>
    <w:rsid w:val="009E3A7B"/>
    <w:rsid w:val="009E3E26"/>
    <w:rsid w:val="009E40D2"/>
    <w:rsid w:val="009E47B3"/>
    <w:rsid w:val="009E54BC"/>
    <w:rsid w:val="009E564D"/>
    <w:rsid w:val="009E61BB"/>
    <w:rsid w:val="009E62A1"/>
    <w:rsid w:val="009E6384"/>
    <w:rsid w:val="009E7609"/>
    <w:rsid w:val="009E76E5"/>
    <w:rsid w:val="009E770E"/>
    <w:rsid w:val="009E7EBB"/>
    <w:rsid w:val="009E7F8C"/>
    <w:rsid w:val="009F074F"/>
    <w:rsid w:val="009F16F1"/>
    <w:rsid w:val="009F2065"/>
    <w:rsid w:val="009F224E"/>
    <w:rsid w:val="009F25A7"/>
    <w:rsid w:val="009F25AF"/>
    <w:rsid w:val="009F282C"/>
    <w:rsid w:val="009F2876"/>
    <w:rsid w:val="009F304C"/>
    <w:rsid w:val="009F3B72"/>
    <w:rsid w:val="009F3C10"/>
    <w:rsid w:val="009F3E8D"/>
    <w:rsid w:val="009F4B15"/>
    <w:rsid w:val="009F4F1B"/>
    <w:rsid w:val="009F4F30"/>
    <w:rsid w:val="009F559A"/>
    <w:rsid w:val="009F6821"/>
    <w:rsid w:val="009F725B"/>
    <w:rsid w:val="009F7D89"/>
    <w:rsid w:val="00A0071A"/>
    <w:rsid w:val="00A00E54"/>
    <w:rsid w:val="00A0172E"/>
    <w:rsid w:val="00A01875"/>
    <w:rsid w:val="00A01B88"/>
    <w:rsid w:val="00A024F6"/>
    <w:rsid w:val="00A028CF"/>
    <w:rsid w:val="00A0350E"/>
    <w:rsid w:val="00A0377F"/>
    <w:rsid w:val="00A03F27"/>
    <w:rsid w:val="00A0485E"/>
    <w:rsid w:val="00A0487C"/>
    <w:rsid w:val="00A05175"/>
    <w:rsid w:val="00A05547"/>
    <w:rsid w:val="00A06100"/>
    <w:rsid w:val="00A061BA"/>
    <w:rsid w:val="00A071CE"/>
    <w:rsid w:val="00A076CE"/>
    <w:rsid w:val="00A07E6B"/>
    <w:rsid w:val="00A10875"/>
    <w:rsid w:val="00A10C2F"/>
    <w:rsid w:val="00A10F56"/>
    <w:rsid w:val="00A11413"/>
    <w:rsid w:val="00A11775"/>
    <w:rsid w:val="00A12377"/>
    <w:rsid w:val="00A12BBE"/>
    <w:rsid w:val="00A12C31"/>
    <w:rsid w:val="00A1353F"/>
    <w:rsid w:val="00A13C12"/>
    <w:rsid w:val="00A1418D"/>
    <w:rsid w:val="00A1527C"/>
    <w:rsid w:val="00A157E7"/>
    <w:rsid w:val="00A15DA7"/>
    <w:rsid w:val="00A16EE7"/>
    <w:rsid w:val="00A172BE"/>
    <w:rsid w:val="00A17BD0"/>
    <w:rsid w:val="00A2017D"/>
    <w:rsid w:val="00A203AB"/>
    <w:rsid w:val="00A20D2E"/>
    <w:rsid w:val="00A2153D"/>
    <w:rsid w:val="00A21ABA"/>
    <w:rsid w:val="00A21B39"/>
    <w:rsid w:val="00A21F1C"/>
    <w:rsid w:val="00A22AFB"/>
    <w:rsid w:val="00A23FD9"/>
    <w:rsid w:val="00A24377"/>
    <w:rsid w:val="00A247F3"/>
    <w:rsid w:val="00A2507B"/>
    <w:rsid w:val="00A25735"/>
    <w:rsid w:val="00A264B6"/>
    <w:rsid w:val="00A27638"/>
    <w:rsid w:val="00A27D0C"/>
    <w:rsid w:val="00A27E72"/>
    <w:rsid w:val="00A30B11"/>
    <w:rsid w:val="00A31824"/>
    <w:rsid w:val="00A319AE"/>
    <w:rsid w:val="00A33031"/>
    <w:rsid w:val="00A330E5"/>
    <w:rsid w:val="00A3321F"/>
    <w:rsid w:val="00A333C6"/>
    <w:rsid w:val="00A33B95"/>
    <w:rsid w:val="00A33D05"/>
    <w:rsid w:val="00A33F5F"/>
    <w:rsid w:val="00A33FAC"/>
    <w:rsid w:val="00A34521"/>
    <w:rsid w:val="00A345F5"/>
    <w:rsid w:val="00A347E3"/>
    <w:rsid w:val="00A35411"/>
    <w:rsid w:val="00A35873"/>
    <w:rsid w:val="00A367DB"/>
    <w:rsid w:val="00A40274"/>
    <w:rsid w:val="00A40375"/>
    <w:rsid w:val="00A405CB"/>
    <w:rsid w:val="00A407C3"/>
    <w:rsid w:val="00A40FB6"/>
    <w:rsid w:val="00A4118B"/>
    <w:rsid w:val="00A41808"/>
    <w:rsid w:val="00A42102"/>
    <w:rsid w:val="00A424B5"/>
    <w:rsid w:val="00A429E6"/>
    <w:rsid w:val="00A438F0"/>
    <w:rsid w:val="00A43EDA"/>
    <w:rsid w:val="00A44009"/>
    <w:rsid w:val="00A44569"/>
    <w:rsid w:val="00A445EB"/>
    <w:rsid w:val="00A448CD"/>
    <w:rsid w:val="00A4552A"/>
    <w:rsid w:val="00A4591C"/>
    <w:rsid w:val="00A45E01"/>
    <w:rsid w:val="00A45F33"/>
    <w:rsid w:val="00A46E68"/>
    <w:rsid w:val="00A4746D"/>
    <w:rsid w:val="00A47BC2"/>
    <w:rsid w:val="00A50201"/>
    <w:rsid w:val="00A50B0B"/>
    <w:rsid w:val="00A51183"/>
    <w:rsid w:val="00A5229D"/>
    <w:rsid w:val="00A52B86"/>
    <w:rsid w:val="00A53446"/>
    <w:rsid w:val="00A53646"/>
    <w:rsid w:val="00A549D6"/>
    <w:rsid w:val="00A54B67"/>
    <w:rsid w:val="00A568DD"/>
    <w:rsid w:val="00A601A1"/>
    <w:rsid w:val="00A60401"/>
    <w:rsid w:val="00A60B7C"/>
    <w:rsid w:val="00A60DE6"/>
    <w:rsid w:val="00A61912"/>
    <w:rsid w:val="00A62009"/>
    <w:rsid w:val="00A6215F"/>
    <w:rsid w:val="00A62B16"/>
    <w:rsid w:val="00A62D6C"/>
    <w:rsid w:val="00A62DEC"/>
    <w:rsid w:val="00A631CA"/>
    <w:rsid w:val="00A63636"/>
    <w:rsid w:val="00A642A8"/>
    <w:rsid w:val="00A64384"/>
    <w:rsid w:val="00A646CD"/>
    <w:rsid w:val="00A64E2A"/>
    <w:rsid w:val="00A64F2E"/>
    <w:rsid w:val="00A65101"/>
    <w:rsid w:val="00A65992"/>
    <w:rsid w:val="00A6660C"/>
    <w:rsid w:val="00A675AC"/>
    <w:rsid w:val="00A67B21"/>
    <w:rsid w:val="00A67ED7"/>
    <w:rsid w:val="00A707E6"/>
    <w:rsid w:val="00A71A27"/>
    <w:rsid w:val="00A723F7"/>
    <w:rsid w:val="00A72A3A"/>
    <w:rsid w:val="00A72B12"/>
    <w:rsid w:val="00A72CAC"/>
    <w:rsid w:val="00A72E2D"/>
    <w:rsid w:val="00A72F09"/>
    <w:rsid w:val="00A7340B"/>
    <w:rsid w:val="00A737F8"/>
    <w:rsid w:val="00A73E81"/>
    <w:rsid w:val="00A73FE3"/>
    <w:rsid w:val="00A75938"/>
    <w:rsid w:val="00A75A51"/>
    <w:rsid w:val="00A765FA"/>
    <w:rsid w:val="00A7707E"/>
    <w:rsid w:val="00A77C9D"/>
    <w:rsid w:val="00A80AAC"/>
    <w:rsid w:val="00A81970"/>
    <w:rsid w:val="00A81A1C"/>
    <w:rsid w:val="00A81AF6"/>
    <w:rsid w:val="00A81B3F"/>
    <w:rsid w:val="00A81D37"/>
    <w:rsid w:val="00A82CB1"/>
    <w:rsid w:val="00A82EA2"/>
    <w:rsid w:val="00A83621"/>
    <w:rsid w:val="00A854E8"/>
    <w:rsid w:val="00A8556D"/>
    <w:rsid w:val="00A85773"/>
    <w:rsid w:val="00A860B2"/>
    <w:rsid w:val="00A866B3"/>
    <w:rsid w:val="00A86780"/>
    <w:rsid w:val="00A86D7A"/>
    <w:rsid w:val="00A86DB3"/>
    <w:rsid w:val="00A905BA"/>
    <w:rsid w:val="00A91EF0"/>
    <w:rsid w:val="00A938E0"/>
    <w:rsid w:val="00A93A5F"/>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2E12"/>
    <w:rsid w:val="00AA37DD"/>
    <w:rsid w:val="00AA3975"/>
    <w:rsid w:val="00AA43CF"/>
    <w:rsid w:val="00AA483D"/>
    <w:rsid w:val="00AA56FC"/>
    <w:rsid w:val="00AA5AD3"/>
    <w:rsid w:val="00AA5EC0"/>
    <w:rsid w:val="00AA6837"/>
    <w:rsid w:val="00AA69BE"/>
    <w:rsid w:val="00AA6B16"/>
    <w:rsid w:val="00AB0098"/>
    <w:rsid w:val="00AB03DB"/>
    <w:rsid w:val="00AB06F3"/>
    <w:rsid w:val="00AB0C57"/>
    <w:rsid w:val="00AB0F2A"/>
    <w:rsid w:val="00AB1667"/>
    <w:rsid w:val="00AB1D45"/>
    <w:rsid w:val="00AB223B"/>
    <w:rsid w:val="00AB2AD5"/>
    <w:rsid w:val="00AB2EED"/>
    <w:rsid w:val="00AB3B99"/>
    <w:rsid w:val="00AB48DD"/>
    <w:rsid w:val="00AB60A6"/>
    <w:rsid w:val="00AB60B1"/>
    <w:rsid w:val="00AB64F8"/>
    <w:rsid w:val="00AB6630"/>
    <w:rsid w:val="00AB66E8"/>
    <w:rsid w:val="00AB6E4B"/>
    <w:rsid w:val="00AB6F2C"/>
    <w:rsid w:val="00AB71EC"/>
    <w:rsid w:val="00AB73C5"/>
    <w:rsid w:val="00AB785C"/>
    <w:rsid w:val="00AC025E"/>
    <w:rsid w:val="00AC1338"/>
    <w:rsid w:val="00AC1EF4"/>
    <w:rsid w:val="00AC2365"/>
    <w:rsid w:val="00AC28B1"/>
    <w:rsid w:val="00AC2980"/>
    <w:rsid w:val="00AC2D3E"/>
    <w:rsid w:val="00AC3BA6"/>
    <w:rsid w:val="00AC3EEF"/>
    <w:rsid w:val="00AC404D"/>
    <w:rsid w:val="00AC4071"/>
    <w:rsid w:val="00AC41BB"/>
    <w:rsid w:val="00AC48A7"/>
    <w:rsid w:val="00AC4F3A"/>
    <w:rsid w:val="00AC5165"/>
    <w:rsid w:val="00AC61DE"/>
    <w:rsid w:val="00AC6C7B"/>
    <w:rsid w:val="00AC7E59"/>
    <w:rsid w:val="00AC7F34"/>
    <w:rsid w:val="00AD068B"/>
    <w:rsid w:val="00AD0967"/>
    <w:rsid w:val="00AD0F99"/>
    <w:rsid w:val="00AD13B7"/>
    <w:rsid w:val="00AD1888"/>
    <w:rsid w:val="00AD1A32"/>
    <w:rsid w:val="00AD1D54"/>
    <w:rsid w:val="00AD1FEE"/>
    <w:rsid w:val="00AD224C"/>
    <w:rsid w:val="00AD25A5"/>
    <w:rsid w:val="00AD2B2E"/>
    <w:rsid w:val="00AD30BE"/>
    <w:rsid w:val="00AD36CE"/>
    <w:rsid w:val="00AD47E7"/>
    <w:rsid w:val="00AD53EA"/>
    <w:rsid w:val="00AD56BC"/>
    <w:rsid w:val="00AD5C31"/>
    <w:rsid w:val="00AD6527"/>
    <w:rsid w:val="00AD6536"/>
    <w:rsid w:val="00AD6CDF"/>
    <w:rsid w:val="00AD6DB4"/>
    <w:rsid w:val="00AD7853"/>
    <w:rsid w:val="00AD79AA"/>
    <w:rsid w:val="00AD7BC9"/>
    <w:rsid w:val="00AD7E9D"/>
    <w:rsid w:val="00AE08F5"/>
    <w:rsid w:val="00AE12F3"/>
    <w:rsid w:val="00AE1CE5"/>
    <w:rsid w:val="00AE1E55"/>
    <w:rsid w:val="00AE2118"/>
    <w:rsid w:val="00AE24BE"/>
    <w:rsid w:val="00AE3327"/>
    <w:rsid w:val="00AE3436"/>
    <w:rsid w:val="00AE3D1A"/>
    <w:rsid w:val="00AE3D4D"/>
    <w:rsid w:val="00AE404D"/>
    <w:rsid w:val="00AE433F"/>
    <w:rsid w:val="00AE4930"/>
    <w:rsid w:val="00AE4E8D"/>
    <w:rsid w:val="00AE50C5"/>
    <w:rsid w:val="00AE55C3"/>
    <w:rsid w:val="00AE5935"/>
    <w:rsid w:val="00AE64A9"/>
    <w:rsid w:val="00AE6D38"/>
    <w:rsid w:val="00AE6F98"/>
    <w:rsid w:val="00AE709D"/>
    <w:rsid w:val="00AE7165"/>
    <w:rsid w:val="00AE7ACC"/>
    <w:rsid w:val="00AE7D8E"/>
    <w:rsid w:val="00AF563D"/>
    <w:rsid w:val="00AF65FF"/>
    <w:rsid w:val="00AF661C"/>
    <w:rsid w:val="00AF6659"/>
    <w:rsid w:val="00AF67A7"/>
    <w:rsid w:val="00AF74AE"/>
    <w:rsid w:val="00AF793E"/>
    <w:rsid w:val="00B00A28"/>
    <w:rsid w:val="00B00BE0"/>
    <w:rsid w:val="00B01933"/>
    <w:rsid w:val="00B01F34"/>
    <w:rsid w:val="00B02FB2"/>
    <w:rsid w:val="00B03C1D"/>
    <w:rsid w:val="00B03C2F"/>
    <w:rsid w:val="00B03FD2"/>
    <w:rsid w:val="00B05042"/>
    <w:rsid w:val="00B051E0"/>
    <w:rsid w:val="00B06335"/>
    <w:rsid w:val="00B06E74"/>
    <w:rsid w:val="00B070CB"/>
    <w:rsid w:val="00B071C6"/>
    <w:rsid w:val="00B0776A"/>
    <w:rsid w:val="00B0782A"/>
    <w:rsid w:val="00B07CE9"/>
    <w:rsid w:val="00B10588"/>
    <w:rsid w:val="00B10CFF"/>
    <w:rsid w:val="00B10E8D"/>
    <w:rsid w:val="00B115C4"/>
    <w:rsid w:val="00B124DF"/>
    <w:rsid w:val="00B12C95"/>
    <w:rsid w:val="00B1333B"/>
    <w:rsid w:val="00B16D0C"/>
    <w:rsid w:val="00B17611"/>
    <w:rsid w:val="00B17972"/>
    <w:rsid w:val="00B17BDD"/>
    <w:rsid w:val="00B17EE6"/>
    <w:rsid w:val="00B2013C"/>
    <w:rsid w:val="00B20876"/>
    <w:rsid w:val="00B20F28"/>
    <w:rsid w:val="00B213A8"/>
    <w:rsid w:val="00B21533"/>
    <w:rsid w:val="00B21869"/>
    <w:rsid w:val="00B21DA3"/>
    <w:rsid w:val="00B21E4F"/>
    <w:rsid w:val="00B22605"/>
    <w:rsid w:val="00B22835"/>
    <w:rsid w:val="00B238F8"/>
    <w:rsid w:val="00B23DB8"/>
    <w:rsid w:val="00B2562C"/>
    <w:rsid w:val="00B258FC"/>
    <w:rsid w:val="00B26BEF"/>
    <w:rsid w:val="00B303AD"/>
    <w:rsid w:val="00B311A3"/>
    <w:rsid w:val="00B31F12"/>
    <w:rsid w:val="00B32966"/>
    <w:rsid w:val="00B32E8E"/>
    <w:rsid w:val="00B33746"/>
    <w:rsid w:val="00B341D6"/>
    <w:rsid w:val="00B345AF"/>
    <w:rsid w:val="00B35314"/>
    <w:rsid w:val="00B3709F"/>
    <w:rsid w:val="00B3758F"/>
    <w:rsid w:val="00B3772C"/>
    <w:rsid w:val="00B37A98"/>
    <w:rsid w:val="00B427E6"/>
    <w:rsid w:val="00B42B9E"/>
    <w:rsid w:val="00B432FA"/>
    <w:rsid w:val="00B4343E"/>
    <w:rsid w:val="00B43790"/>
    <w:rsid w:val="00B438B1"/>
    <w:rsid w:val="00B43BCB"/>
    <w:rsid w:val="00B44476"/>
    <w:rsid w:val="00B4467C"/>
    <w:rsid w:val="00B44C15"/>
    <w:rsid w:val="00B44CF9"/>
    <w:rsid w:val="00B45BE8"/>
    <w:rsid w:val="00B46527"/>
    <w:rsid w:val="00B4696A"/>
    <w:rsid w:val="00B46AF4"/>
    <w:rsid w:val="00B46B6A"/>
    <w:rsid w:val="00B4717C"/>
    <w:rsid w:val="00B4740C"/>
    <w:rsid w:val="00B47BC3"/>
    <w:rsid w:val="00B47CD0"/>
    <w:rsid w:val="00B504F8"/>
    <w:rsid w:val="00B50E44"/>
    <w:rsid w:val="00B51C72"/>
    <w:rsid w:val="00B5200C"/>
    <w:rsid w:val="00B542DE"/>
    <w:rsid w:val="00B5449A"/>
    <w:rsid w:val="00B557E3"/>
    <w:rsid w:val="00B55E83"/>
    <w:rsid w:val="00B56633"/>
    <w:rsid w:val="00B566CA"/>
    <w:rsid w:val="00B56D9C"/>
    <w:rsid w:val="00B572E6"/>
    <w:rsid w:val="00B6046E"/>
    <w:rsid w:val="00B60825"/>
    <w:rsid w:val="00B608EC"/>
    <w:rsid w:val="00B60CD2"/>
    <w:rsid w:val="00B60ECF"/>
    <w:rsid w:val="00B60F1C"/>
    <w:rsid w:val="00B61029"/>
    <w:rsid w:val="00B6118C"/>
    <w:rsid w:val="00B627C2"/>
    <w:rsid w:val="00B627EE"/>
    <w:rsid w:val="00B62813"/>
    <w:rsid w:val="00B63A53"/>
    <w:rsid w:val="00B63A5E"/>
    <w:rsid w:val="00B64912"/>
    <w:rsid w:val="00B64EAD"/>
    <w:rsid w:val="00B6541B"/>
    <w:rsid w:val="00B65D42"/>
    <w:rsid w:val="00B660A1"/>
    <w:rsid w:val="00B66D05"/>
    <w:rsid w:val="00B66D72"/>
    <w:rsid w:val="00B674C3"/>
    <w:rsid w:val="00B67D4D"/>
    <w:rsid w:val="00B7044F"/>
    <w:rsid w:val="00B70B42"/>
    <w:rsid w:val="00B70E21"/>
    <w:rsid w:val="00B710C4"/>
    <w:rsid w:val="00B71CC4"/>
    <w:rsid w:val="00B72DC8"/>
    <w:rsid w:val="00B73958"/>
    <w:rsid w:val="00B739D8"/>
    <w:rsid w:val="00B73AC6"/>
    <w:rsid w:val="00B740AF"/>
    <w:rsid w:val="00B74B20"/>
    <w:rsid w:val="00B75220"/>
    <w:rsid w:val="00B758F4"/>
    <w:rsid w:val="00B75BF8"/>
    <w:rsid w:val="00B75CB7"/>
    <w:rsid w:val="00B75F87"/>
    <w:rsid w:val="00B7645F"/>
    <w:rsid w:val="00B76D83"/>
    <w:rsid w:val="00B76E16"/>
    <w:rsid w:val="00B76E27"/>
    <w:rsid w:val="00B779E3"/>
    <w:rsid w:val="00B803E2"/>
    <w:rsid w:val="00B80DB3"/>
    <w:rsid w:val="00B8101E"/>
    <w:rsid w:val="00B8103D"/>
    <w:rsid w:val="00B81530"/>
    <w:rsid w:val="00B81749"/>
    <w:rsid w:val="00B82CAC"/>
    <w:rsid w:val="00B83124"/>
    <w:rsid w:val="00B8325B"/>
    <w:rsid w:val="00B84298"/>
    <w:rsid w:val="00B84D9B"/>
    <w:rsid w:val="00B85CA9"/>
    <w:rsid w:val="00B86C5F"/>
    <w:rsid w:val="00B8761B"/>
    <w:rsid w:val="00B876EB"/>
    <w:rsid w:val="00B87CC0"/>
    <w:rsid w:val="00B922BB"/>
    <w:rsid w:val="00B92890"/>
    <w:rsid w:val="00B92B25"/>
    <w:rsid w:val="00B92CF4"/>
    <w:rsid w:val="00B92E09"/>
    <w:rsid w:val="00B92E8E"/>
    <w:rsid w:val="00B9361B"/>
    <w:rsid w:val="00B942D8"/>
    <w:rsid w:val="00B94358"/>
    <w:rsid w:val="00B959E3"/>
    <w:rsid w:val="00B96E35"/>
    <w:rsid w:val="00B96E63"/>
    <w:rsid w:val="00B97796"/>
    <w:rsid w:val="00B97C36"/>
    <w:rsid w:val="00B97CE6"/>
    <w:rsid w:val="00BA01DF"/>
    <w:rsid w:val="00BA09A6"/>
    <w:rsid w:val="00BA129F"/>
    <w:rsid w:val="00BA12C4"/>
    <w:rsid w:val="00BA1B6A"/>
    <w:rsid w:val="00BA2ACE"/>
    <w:rsid w:val="00BA3034"/>
    <w:rsid w:val="00BA33EB"/>
    <w:rsid w:val="00BA3473"/>
    <w:rsid w:val="00BA3910"/>
    <w:rsid w:val="00BA3D0D"/>
    <w:rsid w:val="00BA461F"/>
    <w:rsid w:val="00BA49EA"/>
    <w:rsid w:val="00BA49F6"/>
    <w:rsid w:val="00BA580E"/>
    <w:rsid w:val="00BA65F5"/>
    <w:rsid w:val="00BA6B4A"/>
    <w:rsid w:val="00BA7269"/>
    <w:rsid w:val="00BA7277"/>
    <w:rsid w:val="00BA763C"/>
    <w:rsid w:val="00BA77FC"/>
    <w:rsid w:val="00BA79A8"/>
    <w:rsid w:val="00BA7CE6"/>
    <w:rsid w:val="00BA7D54"/>
    <w:rsid w:val="00BA7EBB"/>
    <w:rsid w:val="00BB1F35"/>
    <w:rsid w:val="00BB2576"/>
    <w:rsid w:val="00BB2A1A"/>
    <w:rsid w:val="00BB3BDA"/>
    <w:rsid w:val="00BB45F5"/>
    <w:rsid w:val="00BB635C"/>
    <w:rsid w:val="00BB69CB"/>
    <w:rsid w:val="00BB6C44"/>
    <w:rsid w:val="00BB6E17"/>
    <w:rsid w:val="00BB72EA"/>
    <w:rsid w:val="00BC01B9"/>
    <w:rsid w:val="00BC068E"/>
    <w:rsid w:val="00BC0BD3"/>
    <w:rsid w:val="00BC0BEF"/>
    <w:rsid w:val="00BC0C31"/>
    <w:rsid w:val="00BC139A"/>
    <w:rsid w:val="00BC2A9C"/>
    <w:rsid w:val="00BC2E68"/>
    <w:rsid w:val="00BC33D0"/>
    <w:rsid w:val="00BC35B6"/>
    <w:rsid w:val="00BC37C3"/>
    <w:rsid w:val="00BC45D7"/>
    <w:rsid w:val="00BC5096"/>
    <w:rsid w:val="00BC5957"/>
    <w:rsid w:val="00BC5FA8"/>
    <w:rsid w:val="00BC626C"/>
    <w:rsid w:val="00BC6487"/>
    <w:rsid w:val="00BC654E"/>
    <w:rsid w:val="00BC65E9"/>
    <w:rsid w:val="00BC66A8"/>
    <w:rsid w:val="00BC681F"/>
    <w:rsid w:val="00BC760E"/>
    <w:rsid w:val="00BC7AF7"/>
    <w:rsid w:val="00BC7B31"/>
    <w:rsid w:val="00BC7EA5"/>
    <w:rsid w:val="00BD03EC"/>
    <w:rsid w:val="00BD1863"/>
    <w:rsid w:val="00BD3C4D"/>
    <w:rsid w:val="00BD3D55"/>
    <w:rsid w:val="00BD3F33"/>
    <w:rsid w:val="00BD41A0"/>
    <w:rsid w:val="00BD46E6"/>
    <w:rsid w:val="00BD47DE"/>
    <w:rsid w:val="00BD4EF0"/>
    <w:rsid w:val="00BD502E"/>
    <w:rsid w:val="00BD50E5"/>
    <w:rsid w:val="00BD623B"/>
    <w:rsid w:val="00BD6370"/>
    <w:rsid w:val="00BD698C"/>
    <w:rsid w:val="00BD69A1"/>
    <w:rsid w:val="00BD73C0"/>
    <w:rsid w:val="00BD7835"/>
    <w:rsid w:val="00BD79C3"/>
    <w:rsid w:val="00BD7A68"/>
    <w:rsid w:val="00BD7D7A"/>
    <w:rsid w:val="00BE1793"/>
    <w:rsid w:val="00BE1DA8"/>
    <w:rsid w:val="00BE213D"/>
    <w:rsid w:val="00BE27AD"/>
    <w:rsid w:val="00BE289C"/>
    <w:rsid w:val="00BE2987"/>
    <w:rsid w:val="00BE2AB2"/>
    <w:rsid w:val="00BE2DF6"/>
    <w:rsid w:val="00BE318B"/>
    <w:rsid w:val="00BE34E2"/>
    <w:rsid w:val="00BE396A"/>
    <w:rsid w:val="00BE3A21"/>
    <w:rsid w:val="00BE4681"/>
    <w:rsid w:val="00BE4EB5"/>
    <w:rsid w:val="00BE5E98"/>
    <w:rsid w:val="00BE5F55"/>
    <w:rsid w:val="00BE646A"/>
    <w:rsid w:val="00BE646B"/>
    <w:rsid w:val="00BE6786"/>
    <w:rsid w:val="00BE6F82"/>
    <w:rsid w:val="00BE719D"/>
    <w:rsid w:val="00BE7B7B"/>
    <w:rsid w:val="00BF0492"/>
    <w:rsid w:val="00BF1085"/>
    <w:rsid w:val="00BF15F8"/>
    <w:rsid w:val="00BF2938"/>
    <w:rsid w:val="00BF3499"/>
    <w:rsid w:val="00BF38EF"/>
    <w:rsid w:val="00BF408D"/>
    <w:rsid w:val="00BF5B01"/>
    <w:rsid w:val="00BF69BC"/>
    <w:rsid w:val="00BF6A60"/>
    <w:rsid w:val="00BF6CBF"/>
    <w:rsid w:val="00BF6EA8"/>
    <w:rsid w:val="00BF7633"/>
    <w:rsid w:val="00BF7B8F"/>
    <w:rsid w:val="00BF7B9E"/>
    <w:rsid w:val="00BF7BCA"/>
    <w:rsid w:val="00C00EF6"/>
    <w:rsid w:val="00C01526"/>
    <w:rsid w:val="00C01BB4"/>
    <w:rsid w:val="00C02802"/>
    <w:rsid w:val="00C0319E"/>
    <w:rsid w:val="00C03B5E"/>
    <w:rsid w:val="00C0401B"/>
    <w:rsid w:val="00C0435C"/>
    <w:rsid w:val="00C046EB"/>
    <w:rsid w:val="00C04B1E"/>
    <w:rsid w:val="00C05647"/>
    <w:rsid w:val="00C05A53"/>
    <w:rsid w:val="00C0717F"/>
    <w:rsid w:val="00C074BC"/>
    <w:rsid w:val="00C076CA"/>
    <w:rsid w:val="00C07811"/>
    <w:rsid w:val="00C10580"/>
    <w:rsid w:val="00C10F04"/>
    <w:rsid w:val="00C11AC4"/>
    <w:rsid w:val="00C11DBC"/>
    <w:rsid w:val="00C12532"/>
    <w:rsid w:val="00C13DF8"/>
    <w:rsid w:val="00C14C07"/>
    <w:rsid w:val="00C157AE"/>
    <w:rsid w:val="00C15BAF"/>
    <w:rsid w:val="00C15E68"/>
    <w:rsid w:val="00C15EBB"/>
    <w:rsid w:val="00C1682B"/>
    <w:rsid w:val="00C16CDA"/>
    <w:rsid w:val="00C17C66"/>
    <w:rsid w:val="00C202AE"/>
    <w:rsid w:val="00C20F60"/>
    <w:rsid w:val="00C215C5"/>
    <w:rsid w:val="00C21E41"/>
    <w:rsid w:val="00C225E9"/>
    <w:rsid w:val="00C22AAF"/>
    <w:rsid w:val="00C22F1E"/>
    <w:rsid w:val="00C22FFB"/>
    <w:rsid w:val="00C2361A"/>
    <w:rsid w:val="00C23A75"/>
    <w:rsid w:val="00C241D5"/>
    <w:rsid w:val="00C24477"/>
    <w:rsid w:val="00C2472D"/>
    <w:rsid w:val="00C2483D"/>
    <w:rsid w:val="00C24853"/>
    <w:rsid w:val="00C24FBA"/>
    <w:rsid w:val="00C25207"/>
    <w:rsid w:val="00C25295"/>
    <w:rsid w:val="00C25405"/>
    <w:rsid w:val="00C25664"/>
    <w:rsid w:val="00C25AAC"/>
    <w:rsid w:val="00C2792B"/>
    <w:rsid w:val="00C27BE4"/>
    <w:rsid w:val="00C30890"/>
    <w:rsid w:val="00C314A0"/>
    <w:rsid w:val="00C33A1E"/>
    <w:rsid w:val="00C33F00"/>
    <w:rsid w:val="00C347FF"/>
    <w:rsid w:val="00C34B3D"/>
    <w:rsid w:val="00C351CD"/>
    <w:rsid w:val="00C35601"/>
    <w:rsid w:val="00C3569B"/>
    <w:rsid w:val="00C357BE"/>
    <w:rsid w:val="00C35C62"/>
    <w:rsid w:val="00C36031"/>
    <w:rsid w:val="00C360C7"/>
    <w:rsid w:val="00C36553"/>
    <w:rsid w:val="00C36DBB"/>
    <w:rsid w:val="00C37C7A"/>
    <w:rsid w:val="00C40642"/>
    <w:rsid w:val="00C407EF"/>
    <w:rsid w:val="00C40D7E"/>
    <w:rsid w:val="00C41789"/>
    <w:rsid w:val="00C419B4"/>
    <w:rsid w:val="00C422FE"/>
    <w:rsid w:val="00C42436"/>
    <w:rsid w:val="00C432A4"/>
    <w:rsid w:val="00C438E8"/>
    <w:rsid w:val="00C446FE"/>
    <w:rsid w:val="00C44909"/>
    <w:rsid w:val="00C44B40"/>
    <w:rsid w:val="00C44B5C"/>
    <w:rsid w:val="00C4555E"/>
    <w:rsid w:val="00C457FA"/>
    <w:rsid w:val="00C4587C"/>
    <w:rsid w:val="00C45F3B"/>
    <w:rsid w:val="00C4629F"/>
    <w:rsid w:val="00C4636F"/>
    <w:rsid w:val="00C46E27"/>
    <w:rsid w:val="00C46F26"/>
    <w:rsid w:val="00C47037"/>
    <w:rsid w:val="00C47698"/>
    <w:rsid w:val="00C47D85"/>
    <w:rsid w:val="00C5065F"/>
    <w:rsid w:val="00C50DB6"/>
    <w:rsid w:val="00C513D8"/>
    <w:rsid w:val="00C51D74"/>
    <w:rsid w:val="00C524DB"/>
    <w:rsid w:val="00C527F3"/>
    <w:rsid w:val="00C5280A"/>
    <w:rsid w:val="00C5457E"/>
    <w:rsid w:val="00C54E9C"/>
    <w:rsid w:val="00C55C00"/>
    <w:rsid w:val="00C55E46"/>
    <w:rsid w:val="00C56D72"/>
    <w:rsid w:val="00C5766D"/>
    <w:rsid w:val="00C57C25"/>
    <w:rsid w:val="00C57CA9"/>
    <w:rsid w:val="00C609A8"/>
    <w:rsid w:val="00C609B4"/>
    <w:rsid w:val="00C60C0B"/>
    <w:rsid w:val="00C614E7"/>
    <w:rsid w:val="00C615B1"/>
    <w:rsid w:val="00C61F50"/>
    <w:rsid w:val="00C626F4"/>
    <w:rsid w:val="00C6271A"/>
    <w:rsid w:val="00C62D07"/>
    <w:rsid w:val="00C63C3F"/>
    <w:rsid w:val="00C6401A"/>
    <w:rsid w:val="00C64207"/>
    <w:rsid w:val="00C64945"/>
    <w:rsid w:val="00C64C21"/>
    <w:rsid w:val="00C659CB"/>
    <w:rsid w:val="00C66B25"/>
    <w:rsid w:val="00C66C0B"/>
    <w:rsid w:val="00C67E13"/>
    <w:rsid w:val="00C701A0"/>
    <w:rsid w:val="00C70991"/>
    <w:rsid w:val="00C70D10"/>
    <w:rsid w:val="00C71243"/>
    <w:rsid w:val="00C716A6"/>
    <w:rsid w:val="00C71783"/>
    <w:rsid w:val="00C718F1"/>
    <w:rsid w:val="00C7355C"/>
    <w:rsid w:val="00C7400B"/>
    <w:rsid w:val="00C7444D"/>
    <w:rsid w:val="00C744BD"/>
    <w:rsid w:val="00C75B50"/>
    <w:rsid w:val="00C75BE1"/>
    <w:rsid w:val="00C76752"/>
    <w:rsid w:val="00C76DF3"/>
    <w:rsid w:val="00C801FD"/>
    <w:rsid w:val="00C81E30"/>
    <w:rsid w:val="00C8391A"/>
    <w:rsid w:val="00C83DC9"/>
    <w:rsid w:val="00C8590C"/>
    <w:rsid w:val="00C85D75"/>
    <w:rsid w:val="00C86171"/>
    <w:rsid w:val="00C86427"/>
    <w:rsid w:val="00C8675E"/>
    <w:rsid w:val="00C86919"/>
    <w:rsid w:val="00C86BDF"/>
    <w:rsid w:val="00C900FA"/>
    <w:rsid w:val="00C9074A"/>
    <w:rsid w:val="00C91080"/>
    <w:rsid w:val="00C913B8"/>
    <w:rsid w:val="00C91885"/>
    <w:rsid w:val="00C91F92"/>
    <w:rsid w:val="00C92DC7"/>
    <w:rsid w:val="00C9307D"/>
    <w:rsid w:val="00C93EA7"/>
    <w:rsid w:val="00C93F31"/>
    <w:rsid w:val="00C93FF1"/>
    <w:rsid w:val="00C9410A"/>
    <w:rsid w:val="00C9437B"/>
    <w:rsid w:val="00C9518F"/>
    <w:rsid w:val="00C952C9"/>
    <w:rsid w:val="00C961F0"/>
    <w:rsid w:val="00C9663F"/>
    <w:rsid w:val="00C966D4"/>
    <w:rsid w:val="00C96A29"/>
    <w:rsid w:val="00C9711E"/>
    <w:rsid w:val="00C9746A"/>
    <w:rsid w:val="00CA0936"/>
    <w:rsid w:val="00CA0FF7"/>
    <w:rsid w:val="00CA2047"/>
    <w:rsid w:val="00CA2662"/>
    <w:rsid w:val="00CA305C"/>
    <w:rsid w:val="00CA332F"/>
    <w:rsid w:val="00CA461C"/>
    <w:rsid w:val="00CA4A89"/>
    <w:rsid w:val="00CA509E"/>
    <w:rsid w:val="00CA536B"/>
    <w:rsid w:val="00CA55D9"/>
    <w:rsid w:val="00CA5B94"/>
    <w:rsid w:val="00CA5CE3"/>
    <w:rsid w:val="00CA623A"/>
    <w:rsid w:val="00CA66E5"/>
    <w:rsid w:val="00CA6B41"/>
    <w:rsid w:val="00CA71D7"/>
    <w:rsid w:val="00CA759D"/>
    <w:rsid w:val="00CA7BE1"/>
    <w:rsid w:val="00CB0E1A"/>
    <w:rsid w:val="00CB138C"/>
    <w:rsid w:val="00CB1C65"/>
    <w:rsid w:val="00CB2737"/>
    <w:rsid w:val="00CB2A13"/>
    <w:rsid w:val="00CB303E"/>
    <w:rsid w:val="00CB33DA"/>
    <w:rsid w:val="00CB3B01"/>
    <w:rsid w:val="00CB3D69"/>
    <w:rsid w:val="00CB3F45"/>
    <w:rsid w:val="00CB4168"/>
    <w:rsid w:val="00CB4443"/>
    <w:rsid w:val="00CB4A17"/>
    <w:rsid w:val="00CB563D"/>
    <w:rsid w:val="00CB66D7"/>
    <w:rsid w:val="00CB7596"/>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C78FF"/>
    <w:rsid w:val="00CD00BE"/>
    <w:rsid w:val="00CD10C2"/>
    <w:rsid w:val="00CD12B3"/>
    <w:rsid w:val="00CD23BA"/>
    <w:rsid w:val="00CD240F"/>
    <w:rsid w:val="00CD2F67"/>
    <w:rsid w:val="00CD2FBD"/>
    <w:rsid w:val="00CD35FB"/>
    <w:rsid w:val="00CD3CDB"/>
    <w:rsid w:val="00CD3F90"/>
    <w:rsid w:val="00CD5187"/>
    <w:rsid w:val="00CD538A"/>
    <w:rsid w:val="00CD601A"/>
    <w:rsid w:val="00CD6151"/>
    <w:rsid w:val="00CD6EAB"/>
    <w:rsid w:val="00CD72A6"/>
    <w:rsid w:val="00CD740E"/>
    <w:rsid w:val="00CE018F"/>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7FE"/>
    <w:rsid w:val="00CE6EBB"/>
    <w:rsid w:val="00CE7091"/>
    <w:rsid w:val="00CE7247"/>
    <w:rsid w:val="00CF012D"/>
    <w:rsid w:val="00CF0211"/>
    <w:rsid w:val="00CF0B3D"/>
    <w:rsid w:val="00CF18DD"/>
    <w:rsid w:val="00CF19C2"/>
    <w:rsid w:val="00CF3581"/>
    <w:rsid w:val="00CF4D41"/>
    <w:rsid w:val="00CF6160"/>
    <w:rsid w:val="00CF6C2D"/>
    <w:rsid w:val="00CF7038"/>
    <w:rsid w:val="00CF7488"/>
    <w:rsid w:val="00CF7A47"/>
    <w:rsid w:val="00CF7B6D"/>
    <w:rsid w:val="00CF7C6F"/>
    <w:rsid w:val="00CF7D22"/>
    <w:rsid w:val="00CF7DD7"/>
    <w:rsid w:val="00D004A3"/>
    <w:rsid w:val="00D00A7E"/>
    <w:rsid w:val="00D00B94"/>
    <w:rsid w:val="00D015D2"/>
    <w:rsid w:val="00D02D40"/>
    <w:rsid w:val="00D02FC9"/>
    <w:rsid w:val="00D03064"/>
    <w:rsid w:val="00D03CDC"/>
    <w:rsid w:val="00D03DA5"/>
    <w:rsid w:val="00D041BB"/>
    <w:rsid w:val="00D04844"/>
    <w:rsid w:val="00D05387"/>
    <w:rsid w:val="00D055FF"/>
    <w:rsid w:val="00D05F6D"/>
    <w:rsid w:val="00D06289"/>
    <w:rsid w:val="00D066A8"/>
    <w:rsid w:val="00D06830"/>
    <w:rsid w:val="00D07070"/>
    <w:rsid w:val="00D07284"/>
    <w:rsid w:val="00D074CF"/>
    <w:rsid w:val="00D07EF0"/>
    <w:rsid w:val="00D1024F"/>
    <w:rsid w:val="00D103AF"/>
    <w:rsid w:val="00D1097B"/>
    <w:rsid w:val="00D10BA7"/>
    <w:rsid w:val="00D110CA"/>
    <w:rsid w:val="00D11F4A"/>
    <w:rsid w:val="00D12B19"/>
    <w:rsid w:val="00D13FCD"/>
    <w:rsid w:val="00D14649"/>
    <w:rsid w:val="00D14E32"/>
    <w:rsid w:val="00D14E6F"/>
    <w:rsid w:val="00D1557B"/>
    <w:rsid w:val="00D15B9F"/>
    <w:rsid w:val="00D1684A"/>
    <w:rsid w:val="00D16D10"/>
    <w:rsid w:val="00D1755F"/>
    <w:rsid w:val="00D17D13"/>
    <w:rsid w:val="00D20FC9"/>
    <w:rsid w:val="00D21422"/>
    <w:rsid w:val="00D21C78"/>
    <w:rsid w:val="00D21E5E"/>
    <w:rsid w:val="00D2226A"/>
    <w:rsid w:val="00D230CD"/>
    <w:rsid w:val="00D23649"/>
    <w:rsid w:val="00D241BB"/>
    <w:rsid w:val="00D243ED"/>
    <w:rsid w:val="00D244FB"/>
    <w:rsid w:val="00D253AA"/>
    <w:rsid w:val="00D25E0F"/>
    <w:rsid w:val="00D25E5E"/>
    <w:rsid w:val="00D2642C"/>
    <w:rsid w:val="00D26825"/>
    <w:rsid w:val="00D2686E"/>
    <w:rsid w:val="00D26892"/>
    <w:rsid w:val="00D2725C"/>
    <w:rsid w:val="00D27ABE"/>
    <w:rsid w:val="00D3001A"/>
    <w:rsid w:val="00D30437"/>
    <w:rsid w:val="00D30681"/>
    <w:rsid w:val="00D306FE"/>
    <w:rsid w:val="00D3079F"/>
    <w:rsid w:val="00D30B89"/>
    <w:rsid w:val="00D30CA5"/>
    <w:rsid w:val="00D315FF"/>
    <w:rsid w:val="00D317E9"/>
    <w:rsid w:val="00D318B0"/>
    <w:rsid w:val="00D31A83"/>
    <w:rsid w:val="00D31A98"/>
    <w:rsid w:val="00D32C97"/>
    <w:rsid w:val="00D338A5"/>
    <w:rsid w:val="00D338CA"/>
    <w:rsid w:val="00D33C4C"/>
    <w:rsid w:val="00D33CE7"/>
    <w:rsid w:val="00D3417F"/>
    <w:rsid w:val="00D341DE"/>
    <w:rsid w:val="00D3434F"/>
    <w:rsid w:val="00D35241"/>
    <w:rsid w:val="00D3580E"/>
    <w:rsid w:val="00D36A29"/>
    <w:rsid w:val="00D37367"/>
    <w:rsid w:val="00D37586"/>
    <w:rsid w:val="00D3758A"/>
    <w:rsid w:val="00D3788A"/>
    <w:rsid w:val="00D37A8E"/>
    <w:rsid w:val="00D37B13"/>
    <w:rsid w:val="00D37F31"/>
    <w:rsid w:val="00D40866"/>
    <w:rsid w:val="00D41199"/>
    <w:rsid w:val="00D41408"/>
    <w:rsid w:val="00D41AF5"/>
    <w:rsid w:val="00D420DB"/>
    <w:rsid w:val="00D421F3"/>
    <w:rsid w:val="00D4228D"/>
    <w:rsid w:val="00D42562"/>
    <w:rsid w:val="00D4310C"/>
    <w:rsid w:val="00D43447"/>
    <w:rsid w:val="00D43685"/>
    <w:rsid w:val="00D437A5"/>
    <w:rsid w:val="00D443C7"/>
    <w:rsid w:val="00D44813"/>
    <w:rsid w:val="00D44BDA"/>
    <w:rsid w:val="00D450D0"/>
    <w:rsid w:val="00D457C9"/>
    <w:rsid w:val="00D465A4"/>
    <w:rsid w:val="00D46BBE"/>
    <w:rsid w:val="00D46DC5"/>
    <w:rsid w:val="00D46E2F"/>
    <w:rsid w:val="00D47742"/>
    <w:rsid w:val="00D47AF4"/>
    <w:rsid w:val="00D47E80"/>
    <w:rsid w:val="00D47F97"/>
    <w:rsid w:val="00D500D5"/>
    <w:rsid w:val="00D502E2"/>
    <w:rsid w:val="00D50DE8"/>
    <w:rsid w:val="00D50DF9"/>
    <w:rsid w:val="00D510DA"/>
    <w:rsid w:val="00D51790"/>
    <w:rsid w:val="00D51A52"/>
    <w:rsid w:val="00D51F02"/>
    <w:rsid w:val="00D51F23"/>
    <w:rsid w:val="00D5202B"/>
    <w:rsid w:val="00D522CD"/>
    <w:rsid w:val="00D53585"/>
    <w:rsid w:val="00D5365D"/>
    <w:rsid w:val="00D53B5F"/>
    <w:rsid w:val="00D5434B"/>
    <w:rsid w:val="00D5489D"/>
    <w:rsid w:val="00D5519A"/>
    <w:rsid w:val="00D55B20"/>
    <w:rsid w:val="00D56684"/>
    <w:rsid w:val="00D56CFD"/>
    <w:rsid w:val="00D604AE"/>
    <w:rsid w:val="00D60869"/>
    <w:rsid w:val="00D608A0"/>
    <w:rsid w:val="00D6097D"/>
    <w:rsid w:val="00D609CB"/>
    <w:rsid w:val="00D618BB"/>
    <w:rsid w:val="00D61D13"/>
    <w:rsid w:val="00D62D5D"/>
    <w:rsid w:val="00D632AD"/>
    <w:rsid w:val="00D6337A"/>
    <w:rsid w:val="00D63B7D"/>
    <w:rsid w:val="00D63D0B"/>
    <w:rsid w:val="00D64410"/>
    <w:rsid w:val="00D64CD1"/>
    <w:rsid w:val="00D65305"/>
    <w:rsid w:val="00D655C1"/>
    <w:rsid w:val="00D65BE7"/>
    <w:rsid w:val="00D65DA3"/>
    <w:rsid w:val="00D66A67"/>
    <w:rsid w:val="00D66DA1"/>
    <w:rsid w:val="00D67331"/>
    <w:rsid w:val="00D67524"/>
    <w:rsid w:val="00D6770D"/>
    <w:rsid w:val="00D67764"/>
    <w:rsid w:val="00D67904"/>
    <w:rsid w:val="00D67CD9"/>
    <w:rsid w:val="00D67D10"/>
    <w:rsid w:val="00D70B5E"/>
    <w:rsid w:val="00D70F12"/>
    <w:rsid w:val="00D71C83"/>
    <w:rsid w:val="00D7240E"/>
    <w:rsid w:val="00D72477"/>
    <w:rsid w:val="00D72A39"/>
    <w:rsid w:val="00D73C40"/>
    <w:rsid w:val="00D73C82"/>
    <w:rsid w:val="00D7458A"/>
    <w:rsid w:val="00D74656"/>
    <w:rsid w:val="00D75B54"/>
    <w:rsid w:val="00D76773"/>
    <w:rsid w:val="00D76F8C"/>
    <w:rsid w:val="00D77036"/>
    <w:rsid w:val="00D77857"/>
    <w:rsid w:val="00D77FA0"/>
    <w:rsid w:val="00D80379"/>
    <w:rsid w:val="00D80A12"/>
    <w:rsid w:val="00D80B98"/>
    <w:rsid w:val="00D8160E"/>
    <w:rsid w:val="00D8182E"/>
    <w:rsid w:val="00D82325"/>
    <w:rsid w:val="00D8251F"/>
    <w:rsid w:val="00D825C9"/>
    <w:rsid w:val="00D82B54"/>
    <w:rsid w:val="00D83191"/>
    <w:rsid w:val="00D8325D"/>
    <w:rsid w:val="00D83434"/>
    <w:rsid w:val="00D83D15"/>
    <w:rsid w:val="00D8533F"/>
    <w:rsid w:val="00D86163"/>
    <w:rsid w:val="00D866F6"/>
    <w:rsid w:val="00D86CF6"/>
    <w:rsid w:val="00D87086"/>
    <w:rsid w:val="00D870BC"/>
    <w:rsid w:val="00D8788C"/>
    <w:rsid w:val="00D87BC3"/>
    <w:rsid w:val="00D87C26"/>
    <w:rsid w:val="00D87D89"/>
    <w:rsid w:val="00D9068E"/>
    <w:rsid w:val="00D9073A"/>
    <w:rsid w:val="00D909A5"/>
    <w:rsid w:val="00D91150"/>
    <w:rsid w:val="00D91814"/>
    <w:rsid w:val="00D91B17"/>
    <w:rsid w:val="00D93E58"/>
    <w:rsid w:val="00D93F83"/>
    <w:rsid w:val="00D94C93"/>
    <w:rsid w:val="00D95212"/>
    <w:rsid w:val="00D9543D"/>
    <w:rsid w:val="00D979D3"/>
    <w:rsid w:val="00D97B54"/>
    <w:rsid w:val="00DA018C"/>
    <w:rsid w:val="00DA02E9"/>
    <w:rsid w:val="00DA0833"/>
    <w:rsid w:val="00DA0B76"/>
    <w:rsid w:val="00DA2143"/>
    <w:rsid w:val="00DA242A"/>
    <w:rsid w:val="00DA24B2"/>
    <w:rsid w:val="00DA2953"/>
    <w:rsid w:val="00DA3382"/>
    <w:rsid w:val="00DA42EE"/>
    <w:rsid w:val="00DA4C8F"/>
    <w:rsid w:val="00DA52EC"/>
    <w:rsid w:val="00DA52F9"/>
    <w:rsid w:val="00DA5C94"/>
    <w:rsid w:val="00DA5EB4"/>
    <w:rsid w:val="00DA6241"/>
    <w:rsid w:val="00DB0AD4"/>
    <w:rsid w:val="00DB0BA2"/>
    <w:rsid w:val="00DB0FA5"/>
    <w:rsid w:val="00DB161C"/>
    <w:rsid w:val="00DB1B7E"/>
    <w:rsid w:val="00DB2657"/>
    <w:rsid w:val="00DB2836"/>
    <w:rsid w:val="00DB2A2C"/>
    <w:rsid w:val="00DB3C8D"/>
    <w:rsid w:val="00DB3DBF"/>
    <w:rsid w:val="00DB405B"/>
    <w:rsid w:val="00DB4A2A"/>
    <w:rsid w:val="00DB4B0C"/>
    <w:rsid w:val="00DB5001"/>
    <w:rsid w:val="00DB5453"/>
    <w:rsid w:val="00DB5F71"/>
    <w:rsid w:val="00DB6414"/>
    <w:rsid w:val="00DB7A1F"/>
    <w:rsid w:val="00DC0385"/>
    <w:rsid w:val="00DC0631"/>
    <w:rsid w:val="00DC097C"/>
    <w:rsid w:val="00DC1476"/>
    <w:rsid w:val="00DC19A2"/>
    <w:rsid w:val="00DC2685"/>
    <w:rsid w:val="00DC2CCC"/>
    <w:rsid w:val="00DC38ED"/>
    <w:rsid w:val="00DC40C2"/>
    <w:rsid w:val="00DC47E5"/>
    <w:rsid w:val="00DC66F8"/>
    <w:rsid w:val="00DC6F8F"/>
    <w:rsid w:val="00DC7ACC"/>
    <w:rsid w:val="00DC7CDF"/>
    <w:rsid w:val="00DC7D20"/>
    <w:rsid w:val="00DC7E22"/>
    <w:rsid w:val="00DD012C"/>
    <w:rsid w:val="00DD02FA"/>
    <w:rsid w:val="00DD0B52"/>
    <w:rsid w:val="00DD1742"/>
    <w:rsid w:val="00DD1A45"/>
    <w:rsid w:val="00DD1F37"/>
    <w:rsid w:val="00DD22FB"/>
    <w:rsid w:val="00DD29AD"/>
    <w:rsid w:val="00DD3EFA"/>
    <w:rsid w:val="00DD4100"/>
    <w:rsid w:val="00DD4A55"/>
    <w:rsid w:val="00DD75F1"/>
    <w:rsid w:val="00DE0056"/>
    <w:rsid w:val="00DE00C0"/>
    <w:rsid w:val="00DE064E"/>
    <w:rsid w:val="00DE1024"/>
    <w:rsid w:val="00DE1242"/>
    <w:rsid w:val="00DE1335"/>
    <w:rsid w:val="00DE1FEF"/>
    <w:rsid w:val="00DE237E"/>
    <w:rsid w:val="00DE24F0"/>
    <w:rsid w:val="00DE2833"/>
    <w:rsid w:val="00DE29C2"/>
    <w:rsid w:val="00DE302F"/>
    <w:rsid w:val="00DE3485"/>
    <w:rsid w:val="00DE36E2"/>
    <w:rsid w:val="00DE3B3F"/>
    <w:rsid w:val="00DE3DCB"/>
    <w:rsid w:val="00DE4435"/>
    <w:rsid w:val="00DE44BF"/>
    <w:rsid w:val="00DE47A9"/>
    <w:rsid w:val="00DE50D1"/>
    <w:rsid w:val="00DE5BF4"/>
    <w:rsid w:val="00DE5D23"/>
    <w:rsid w:val="00DE5D84"/>
    <w:rsid w:val="00DE5F5E"/>
    <w:rsid w:val="00DE7170"/>
    <w:rsid w:val="00DE7535"/>
    <w:rsid w:val="00DE78D8"/>
    <w:rsid w:val="00DF0F86"/>
    <w:rsid w:val="00DF12EB"/>
    <w:rsid w:val="00DF1449"/>
    <w:rsid w:val="00DF229E"/>
    <w:rsid w:val="00DF2A90"/>
    <w:rsid w:val="00DF2CB0"/>
    <w:rsid w:val="00DF329A"/>
    <w:rsid w:val="00DF331D"/>
    <w:rsid w:val="00DF38A7"/>
    <w:rsid w:val="00DF3BB8"/>
    <w:rsid w:val="00DF3DB9"/>
    <w:rsid w:val="00DF3E55"/>
    <w:rsid w:val="00DF42DA"/>
    <w:rsid w:val="00DF45EB"/>
    <w:rsid w:val="00DF470E"/>
    <w:rsid w:val="00DF4BA9"/>
    <w:rsid w:val="00DF52E3"/>
    <w:rsid w:val="00DF5E3C"/>
    <w:rsid w:val="00DF6114"/>
    <w:rsid w:val="00DF6868"/>
    <w:rsid w:val="00E000DB"/>
    <w:rsid w:val="00E00488"/>
    <w:rsid w:val="00E00AAE"/>
    <w:rsid w:val="00E0289B"/>
    <w:rsid w:val="00E028E7"/>
    <w:rsid w:val="00E02A7B"/>
    <w:rsid w:val="00E03396"/>
    <w:rsid w:val="00E03E25"/>
    <w:rsid w:val="00E04037"/>
    <w:rsid w:val="00E043BF"/>
    <w:rsid w:val="00E044E6"/>
    <w:rsid w:val="00E05DAC"/>
    <w:rsid w:val="00E05F95"/>
    <w:rsid w:val="00E0647C"/>
    <w:rsid w:val="00E11454"/>
    <w:rsid w:val="00E11614"/>
    <w:rsid w:val="00E11DA2"/>
    <w:rsid w:val="00E1260A"/>
    <w:rsid w:val="00E12A9E"/>
    <w:rsid w:val="00E13801"/>
    <w:rsid w:val="00E13B53"/>
    <w:rsid w:val="00E13FFE"/>
    <w:rsid w:val="00E1539C"/>
    <w:rsid w:val="00E15C18"/>
    <w:rsid w:val="00E15D39"/>
    <w:rsid w:val="00E15FC0"/>
    <w:rsid w:val="00E163B8"/>
    <w:rsid w:val="00E1741C"/>
    <w:rsid w:val="00E1785C"/>
    <w:rsid w:val="00E20815"/>
    <w:rsid w:val="00E2100B"/>
    <w:rsid w:val="00E21477"/>
    <w:rsid w:val="00E21E81"/>
    <w:rsid w:val="00E22A1A"/>
    <w:rsid w:val="00E22ED9"/>
    <w:rsid w:val="00E244C6"/>
    <w:rsid w:val="00E24565"/>
    <w:rsid w:val="00E25A96"/>
    <w:rsid w:val="00E25E0F"/>
    <w:rsid w:val="00E301E9"/>
    <w:rsid w:val="00E3049A"/>
    <w:rsid w:val="00E30D47"/>
    <w:rsid w:val="00E310A0"/>
    <w:rsid w:val="00E311A7"/>
    <w:rsid w:val="00E31349"/>
    <w:rsid w:val="00E318A5"/>
    <w:rsid w:val="00E31CE3"/>
    <w:rsid w:val="00E333C5"/>
    <w:rsid w:val="00E338FE"/>
    <w:rsid w:val="00E34B6D"/>
    <w:rsid w:val="00E36443"/>
    <w:rsid w:val="00E366FD"/>
    <w:rsid w:val="00E374FB"/>
    <w:rsid w:val="00E3770D"/>
    <w:rsid w:val="00E3795E"/>
    <w:rsid w:val="00E3795F"/>
    <w:rsid w:val="00E40100"/>
    <w:rsid w:val="00E4075B"/>
    <w:rsid w:val="00E40A34"/>
    <w:rsid w:val="00E41311"/>
    <w:rsid w:val="00E418E6"/>
    <w:rsid w:val="00E41E47"/>
    <w:rsid w:val="00E4293A"/>
    <w:rsid w:val="00E430E1"/>
    <w:rsid w:val="00E437A7"/>
    <w:rsid w:val="00E4380F"/>
    <w:rsid w:val="00E43F8B"/>
    <w:rsid w:val="00E4415E"/>
    <w:rsid w:val="00E44416"/>
    <w:rsid w:val="00E4442E"/>
    <w:rsid w:val="00E44A07"/>
    <w:rsid w:val="00E44D93"/>
    <w:rsid w:val="00E4511B"/>
    <w:rsid w:val="00E453E5"/>
    <w:rsid w:val="00E45745"/>
    <w:rsid w:val="00E45A5A"/>
    <w:rsid w:val="00E46232"/>
    <w:rsid w:val="00E46975"/>
    <w:rsid w:val="00E46C71"/>
    <w:rsid w:val="00E46FF7"/>
    <w:rsid w:val="00E474EB"/>
    <w:rsid w:val="00E47557"/>
    <w:rsid w:val="00E47D53"/>
    <w:rsid w:val="00E503D6"/>
    <w:rsid w:val="00E50D6A"/>
    <w:rsid w:val="00E50DA2"/>
    <w:rsid w:val="00E5189B"/>
    <w:rsid w:val="00E51CB1"/>
    <w:rsid w:val="00E526D8"/>
    <w:rsid w:val="00E539DD"/>
    <w:rsid w:val="00E53F8E"/>
    <w:rsid w:val="00E5457E"/>
    <w:rsid w:val="00E54951"/>
    <w:rsid w:val="00E54AF6"/>
    <w:rsid w:val="00E54B96"/>
    <w:rsid w:val="00E54BD6"/>
    <w:rsid w:val="00E550A4"/>
    <w:rsid w:val="00E553C4"/>
    <w:rsid w:val="00E5548C"/>
    <w:rsid w:val="00E56122"/>
    <w:rsid w:val="00E563FF"/>
    <w:rsid w:val="00E56418"/>
    <w:rsid w:val="00E564B7"/>
    <w:rsid w:val="00E575FA"/>
    <w:rsid w:val="00E608E2"/>
    <w:rsid w:val="00E609B0"/>
    <w:rsid w:val="00E6141A"/>
    <w:rsid w:val="00E6194F"/>
    <w:rsid w:val="00E61DFC"/>
    <w:rsid w:val="00E62D9C"/>
    <w:rsid w:val="00E649E3"/>
    <w:rsid w:val="00E6529B"/>
    <w:rsid w:val="00E652A8"/>
    <w:rsid w:val="00E6633A"/>
    <w:rsid w:val="00E66354"/>
    <w:rsid w:val="00E67156"/>
    <w:rsid w:val="00E67F37"/>
    <w:rsid w:val="00E70098"/>
    <w:rsid w:val="00E70643"/>
    <w:rsid w:val="00E70CC1"/>
    <w:rsid w:val="00E70E72"/>
    <w:rsid w:val="00E71098"/>
    <w:rsid w:val="00E71A2E"/>
    <w:rsid w:val="00E72179"/>
    <w:rsid w:val="00E73EB0"/>
    <w:rsid w:val="00E74183"/>
    <w:rsid w:val="00E74A85"/>
    <w:rsid w:val="00E74CED"/>
    <w:rsid w:val="00E75532"/>
    <w:rsid w:val="00E76C11"/>
    <w:rsid w:val="00E76FE2"/>
    <w:rsid w:val="00E77864"/>
    <w:rsid w:val="00E8031A"/>
    <w:rsid w:val="00E80B8A"/>
    <w:rsid w:val="00E8131C"/>
    <w:rsid w:val="00E816C4"/>
    <w:rsid w:val="00E81B38"/>
    <w:rsid w:val="00E81D86"/>
    <w:rsid w:val="00E83157"/>
    <w:rsid w:val="00E833C7"/>
    <w:rsid w:val="00E8396C"/>
    <w:rsid w:val="00E83C0A"/>
    <w:rsid w:val="00E83CB8"/>
    <w:rsid w:val="00E84A23"/>
    <w:rsid w:val="00E8548C"/>
    <w:rsid w:val="00E856FE"/>
    <w:rsid w:val="00E85897"/>
    <w:rsid w:val="00E8637C"/>
    <w:rsid w:val="00E8647C"/>
    <w:rsid w:val="00E865C5"/>
    <w:rsid w:val="00E87EC1"/>
    <w:rsid w:val="00E901E0"/>
    <w:rsid w:val="00E90BE7"/>
    <w:rsid w:val="00E915FD"/>
    <w:rsid w:val="00E92C40"/>
    <w:rsid w:val="00E93C40"/>
    <w:rsid w:val="00E957F0"/>
    <w:rsid w:val="00E960C1"/>
    <w:rsid w:val="00E96D66"/>
    <w:rsid w:val="00E96EE7"/>
    <w:rsid w:val="00E96F15"/>
    <w:rsid w:val="00E97BC3"/>
    <w:rsid w:val="00EA044F"/>
    <w:rsid w:val="00EA09B8"/>
    <w:rsid w:val="00EA116D"/>
    <w:rsid w:val="00EA1447"/>
    <w:rsid w:val="00EA28FF"/>
    <w:rsid w:val="00EA3FA8"/>
    <w:rsid w:val="00EA4BEE"/>
    <w:rsid w:val="00EA53A5"/>
    <w:rsid w:val="00EA5412"/>
    <w:rsid w:val="00EA5CBA"/>
    <w:rsid w:val="00EA5FB1"/>
    <w:rsid w:val="00EA5FCC"/>
    <w:rsid w:val="00EA61DC"/>
    <w:rsid w:val="00EA6E2F"/>
    <w:rsid w:val="00EA700B"/>
    <w:rsid w:val="00EA7423"/>
    <w:rsid w:val="00EB07BF"/>
    <w:rsid w:val="00EB1241"/>
    <w:rsid w:val="00EB1B5A"/>
    <w:rsid w:val="00EB3633"/>
    <w:rsid w:val="00EB3D56"/>
    <w:rsid w:val="00EB3F9F"/>
    <w:rsid w:val="00EB401F"/>
    <w:rsid w:val="00EB42C1"/>
    <w:rsid w:val="00EB4400"/>
    <w:rsid w:val="00EB4506"/>
    <w:rsid w:val="00EB46C3"/>
    <w:rsid w:val="00EB579E"/>
    <w:rsid w:val="00EB6087"/>
    <w:rsid w:val="00EB63E8"/>
    <w:rsid w:val="00EB7526"/>
    <w:rsid w:val="00EB7DEB"/>
    <w:rsid w:val="00EC07A5"/>
    <w:rsid w:val="00EC0EF3"/>
    <w:rsid w:val="00EC17F5"/>
    <w:rsid w:val="00EC1871"/>
    <w:rsid w:val="00EC1A5E"/>
    <w:rsid w:val="00EC1B71"/>
    <w:rsid w:val="00EC1E28"/>
    <w:rsid w:val="00EC2549"/>
    <w:rsid w:val="00EC2618"/>
    <w:rsid w:val="00EC38EC"/>
    <w:rsid w:val="00EC3AD1"/>
    <w:rsid w:val="00EC3D50"/>
    <w:rsid w:val="00EC3F08"/>
    <w:rsid w:val="00EC4160"/>
    <w:rsid w:val="00EC4F2C"/>
    <w:rsid w:val="00EC51F0"/>
    <w:rsid w:val="00EC5566"/>
    <w:rsid w:val="00EC57F2"/>
    <w:rsid w:val="00EC5EAE"/>
    <w:rsid w:val="00EC6254"/>
    <w:rsid w:val="00EC64EA"/>
    <w:rsid w:val="00EC67F6"/>
    <w:rsid w:val="00EC6866"/>
    <w:rsid w:val="00EC6931"/>
    <w:rsid w:val="00EC7241"/>
    <w:rsid w:val="00EC7C56"/>
    <w:rsid w:val="00EC7E96"/>
    <w:rsid w:val="00ED06AE"/>
    <w:rsid w:val="00ED080D"/>
    <w:rsid w:val="00ED1331"/>
    <w:rsid w:val="00ED14D9"/>
    <w:rsid w:val="00ED3399"/>
    <w:rsid w:val="00ED3A16"/>
    <w:rsid w:val="00ED3A2C"/>
    <w:rsid w:val="00ED3D56"/>
    <w:rsid w:val="00ED3D82"/>
    <w:rsid w:val="00ED4056"/>
    <w:rsid w:val="00ED53AF"/>
    <w:rsid w:val="00ED5A72"/>
    <w:rsid w:val="00ED5B1B"/>
    <w:rsid w:val="00ED6501"/>
    <w:rsid w:val="00ED67BA"/>
    <w:rsid w:val="00ED7066"/>
    <w:rsid w:val="00ED77B7"/>
    <w:rsid w:val="00EE04BA"/>
    <w:rsid w:val="00EE07E3"/>
    <w:rsid w:val="00EE07F7"/>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6BC"/>
    <w:rsid w:val="00EF171D"/>
    <w:rsid w:val="00EF1A8C"/>
    <w:rsid w:val="00EF27AF"/>
    <w:rsid w:val="00EF2C44"/>
    <w:rsid w:val="00EF2FC2"/>
    <w:rsid w:val="00EF37C3"/>
    <w:rsid w:val="00EF3BE5"/>
    <w:rsid w:val="00EF4E22"/>
    <w:rsid w:val="00EF4E82"/>
    <w:rsid w:val="00EF4F51"/>
    <w:rsid w:val="00EF5E58"/>
    <w:rsid w:val="00EF6654"/>
    <w:rsid w:val="00EF6AA8"/>
    <w:rsid w:val="00EF70EE"/>
    <w:rsid w:val="00EF726E"/>
    <w:rsid w:val="00EF764A"/>
    <w:rsid w:val="00EF76BC"/>
    <w:rsid w:val="00EF7CF9"/>
    <w:rsid w:val="00F00113"/>
    <w:rsid w:val="00F00DCA"/>
    <w:rsid w:val="00F01038"/>
    <w:rsid w:val="00F01ED6"/>
    <w:rsid w:val="00F0284F"/>
    <w:rsid w:val="00F03925"/>
    <w:rsid w:val="00F03BB9"/>
    <w:rsid w:val="00F03F61"/>
    <w:rsid w:val="00F047A8"/>
    <w:rsid w:val="00F06310"/>
    <w:rsid w:val="00F06A37"/>
    <w:rsid w:val="00F06C94"/>
    <w:rsid w:val="00F06D44"/>
    <w:rsid w:val="00F07542"/>
    <w:rsid w:val="00F0760D"/>
    <w:rsid w:val="00F07B0C"/>
    <w:rsid w:val="00F10723"/>
    <w:rsid w:val="00F111B2"/>
    <w:rsid w:val="00F11336"/>
    <w:rsid w:val="00F11463"/>
    <w:rsid w:val="00F11719"/>
    <w:rsid w:val="00F1192B"/>
    <w:rsid w:val="00F11B17"/>
    <w:rsid w:val="00F12492"/>
    <w:rsid w:val="00F12ED9"/>
    <w:rsid w:val="00F131AB"/>
    <w:rsid w:val="00F13330"/>
    <w:rsid w:val="00F148E4"/>
    <w:rsid w:val="00F14ACF"/>
    <w:rsid w:val="00F151AE"/>
    <w:rsid w:val="00F16390"/>
    <w:rsid w:val="00F1654C"/>
    <w:rsid w:val="00F166D0"/>
    <w:rsid w:val="00F169CE"/>
    <w:rsid w:val="00F17C77"/>
    <w:rsid w:val="00F17F7A"/>
    <w:rsid w:val="00F2068A"/>
    <w:rsid w:val="00F20AFE"/>
    <w:rsid w:val="00F215C9"/>
    <w:rsid w:val="00F219BA"/>
    <w:rsid w:val="00F21BFC"/>
    <w:rsid w:val="00F21E07"/>
    <w:rsid w:val="00F21F65"/>
    <w:rsid w:val="00F22455"/>
    <w:rsid w:val="00F23557"/>
    <w:rsid w:val="00F23B07"/>
    <w:rsid w:val="00F240D4"/>
    <w:rsid w:val="00F25E06"/>
    <w:rsid w:val="00F25FD1"/>
    <w:rsid w:val="00F2636E"/>
    <w:rsid w:val="00F26938"/>
    <w:rsid w:val="00F26BF1"/>
    <w:rsid w:val="00F271E1"/>
    <w:rsid w:val="00F273B0"/>
    <w:rsid w:val="00F27944"/>
    <w:rsid w:val="00F27966"/>
    <w:rsid w:val="00F27C5D"/>
    <w:rsid w:val="00F3017D"/>
    <w:rsid w:val="00F306FC"/>
    <w:rsid w:val="00F30E8F"/>
    <w:rsid w:val="00F30FB3"/>
    <w:rsid w:val="00F30FD2"/>
    <w:rsid w:val="00F31029"/>
    <w:rsid w:val="00F31F6E"/>
    <w:rsid w:val="00F31F97"/>
    <w:rsid w:val="00F324B8"/>
    <w:rsid w:val="00F3261B"/>
    <w:rsid w:val="00F32697"/>
    <w:rsid w:val="00F32AEC"/>
    <w:rsid w:val="00F32BAA"/>
    <w:rsid w:val="00F33D73"/>
    <w:rsid w:val="00F33FCB"/>
    <w:rsid w:val="00F34FEB"/>
    <w:rsid w:val="00F359A7"/>
    <w:rsid w:val="00F359AF"/>
    <w:rsid w:val="00F35F6F"/>
    <w:rsid w:val="00F364BF"/>
    <w:rsid w:val="00F3669D"/>
    <w:rsid w:val="00F37CAF"/>
    <w:rsid w:val="00F37D2E"/>
    <w:rsid w:val="00F41EBE"/>
    <w:rsid w:val="00F4260E"/>
    <w:rsid w:val="00F43933"/>
    <w:rsid w:val="00F44E86"/>
    <w:rsid w:val="00F4500B"/>
    <w:rsid w:val="00F4592A"/>
    <w:rsid w:val="00F45DF2"/>
    <w:rsid w:val="00F45E67"/>
    <w:rsid w:val="00F46E5A"/>
    <w:rsid w:val="00F47B10"/>
    <w:rsid w:val="00F501B1"/>
    <w:rsid w:val="00F5268E"/>
    <w:rsid w:val="00F52BD7"/>
    <w:rsid w:val="00F53A36"/>
    <w:rsid w:val="00F5471E"/>
    <w:rsid w:val="00F54ACA"/>
    <w:rsid w:val="00F55590"/>
    <w:rsid w:val="00F55BA6"/>
    <w:rsid w:val="00F55ECE"/>
    <w:rsid w:val="00F5696E"/>
    <w:rsid w:val="00F56E2C"/>
    <w:rsid w:val="00F575B8"/>
    <w:rsid w:val="00F575DA"/>
    <w:rsid w:val="00F578AB"/>
    <w:rsid w:val="00F579D4"/>
    <w:rsid w:val="00F57EB9"/>
    <w:rsid w:val="00F57FBD"/>
    <w:rsid w:val="00F601F4"/>
    <w:rsid w:val="00F6028C"/>
    <w:rsid w:val="00F6031E"/>
    <w:rsid w:val="00F603D6"/>
    <w:rsid w:val="00F617BB"/>
    <w:rsid w:val="00F61A85"/>
    <w:rsid w:val="00F638CE"/>
    <w:rsid w:val="00F643EA"/>
    <w:rsid w:val="00F64628"/>
    <w:rsid w:val="00F6521D"/>
    <w:rsid w:val="00F65AC1"/>
    <w:rsid w:val="00F66206"/>
    <w:rsid w:val="00F664B8"/>
    <w:rsid w:val="00F66A13"/>
    <w:rsid w:val="00F66EA1"/>
    <w:rsid w:val="00F66EFA"/>
    <w:rsid w:val="00F66F7F"/>
    <w:rsid w:val="00F67265"/>
    <w:rsid w:val="00F704A8"/>
    <w:rsid w:val="00F706D2"/>
    <w:rsid w:val="00F71AD3"/>
    <w:rsid w:val="00F71C8E"/>
    <w:rsid w:val="00F72194"/>
    <w:rsid w:val="00F7282F"/>
    <w:rsid w:val="00F72CC2"/>
    <w:rsid w:val="00F7347E"/>
    <w:rsid w:val="00F734A8"/>
    <w:rsid w:val="00F73609"/>
    <w:rsid w:val="00F73F32"/>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B61"/>
    <w:rsid w:val="00F82DA2"/>
    <w:rsid w:val="00F82E18"/>
    <w:rsid w:val="00F84975"/>
    <w:rsid w:val="00F849AE"/>
    <w:rsid w:val="00F8533B"/>
    <w:rsid w:val="00F86874"/>
    <w:rsid w:val="00F868C9"/>
    <w:rsid w:val="00F86AAF"/>
    <w:rsid w:val="00F875F9"/>
    <w:rsid w:val="00F87D5A"/>
    <w:rsid w:val="00F9034B"/>
    <w:rsid w:val="00F905DC"/>
    <w:rsid w:val="00F9064F"/>
    <w:rsid w:val="00F90D7F"/>
    <w:rsid w:val="00F910AC"/>
    <w:rsid w:val="00F91892"/>
    <w:rsid w:val="00F92554"/>
    <w:rsid w:val="00F92613"/>
    <w:rsid w:val="00F92EAF"/>
    <w:rsid w:val="00F938A2"/>
    <w:rsid w:val="00F93EC8"/>
    <w:rsid w:val="00F944EC"/>
    <w:rsid w:val="00F94ECD"/>
    <w:rsid w:val="00F94EE1"/>
    <w:rsid w:val="00F954A6"/>
    <w:rsid w:val="00F967C5"/>
    <w:rsid w:val="00F97607"/>
    <w:rsid w:val="00F97681"/>
    <w:rsid w:val="00F9776A"/>
    <w:rsid w:val="00FA00BF"/>
    <w:rsid w:val="00FA05FF"/>
    <w:rsid w:val="00FA110B"/>
    <w:rsid w:val="00FA18B4"/>
    <w:rsid w:val="00FA2596"/>
    <w:rsid w:val="00FA2BAD"/>
    <w:rsid w:val="00FA2BFA"/>
    <w:rsid w:val="00FA2E4E"/>
    <w:rsid w:val="00FA3EEB"/>
    <w:rsid w:val="00FA4844"/>
    <w:rsid w:val="00FA4985"/>
    <w:rsid w:val="00FA5543"/>
    <w:rsid w:val="00FA5CC1"/>
    <w:rsid w:val="00FA682D"/>
    <w:rsid w:val="00FA691A"/>
    <w:rsid w:val="00FA69EA"/>
    <w:rsid w:val="00FA6E9B"/>
    <w:rsid w:val="00FA72EE"/>
    <w:rsid w:val="00FA74B2"/>
    <w:rsid w:val="00FB0A40"/>
    <w:rsid w:val="00FB0DBB"/>
    <w:rsid w:val="00FB1558"/>
    <w:rsid w:val="00FB1ECC"/>
    <w:rsid w:val="00FB2E57"/>
    <w:rsid w:val="00FB33DB"/>
    <w:rsid w:val="00FB3990"/>
    <w:rsid w:val="00FB5759"/>
    <w:rsid w:val="00FB5D11"/>
    <w:rsid w:val="00FB5E33"/>
    <w:rsid w:val="00FB6373"/>
    <w:rsid w:val="00FB67A8"/>
    <w:rsid w:val="00FB719E"/>
    <w:rsid w:val="00FB7B75"/>
    <w:rsid w:val="00FB7D29"/>
    <w:rsid w:val="00FC035E"/>
    <w:rsid w:val="00FC0E4A"/>
    <w:rsid w:val="00FC0EEC"/>
    <w:rsid w:val="00FC1AB9"/>
    <w:rsid w:val="00FC1DF8"/>
    <w:rsid w:val="00FC28A9"/>
    <w:rsid w:val="00FC298D"/>
    <w:rsid w:val="00FC2B19"/>
    <w:rsid w:val="00FC2DA8"/>
    <w:rsid w:val="00FC34A4"/>
    <w:rsid w:val="00FC3DF4"/>
    <w:rsid w:val="00FC3FF1"/>
    <w:rsid w:val="00FC460F"/>
    <w:rsid w:val="00FC5FD2"/>
    <w:rsid w:val="00FC7379"/>
    <w:rsid w:val="00FC77E3"/>
    <w:rsid w:val="00FD16FB"/>
    <w:rsid w:val="00FD17DB"/>
    <w:rsid w:val="00FD1815"/>
    <w:rsid w:val="00FD2170"/>
    <w:rsid w:val="00FD2ABD"/>
    <w:rsid w:val="00FD2B4B"/>
    <w:rsid w:val="00FD3209"/>
    <w:rsid w:val="00FD3474"/>
    <w:rsid w:val="00FD34F8"/>
    <w:rsid w:val="00FD463A"/>
    <w:rsid w:val="00FD4A5C"/>
    <w:rsid w:val="00FD4F22"/>
    <w:rsid w:val="00FD4F89"/>
    <w:rsid w:val="00FD5737"/>
    <w:rsid w:val="00FD587A"/>
    <w:rsid w:val="00FD67D5"/>
    <w:rsid w:val="00FD6942"/>
    <w:rsid w:val="00FD6A5E"/>
    <w:rsid w:val="00FD6AB8"/>
    <w:rsid w:val="00FD6BB5"/>
    <w:rsid w:val="00FD7891"/>
    <w:rsid w:val="00FD7C04"/>
    <w:rsid w:val="00FE0079"/>
    <w:rsid w:val="00FE06B4"/>
    <w:rsid w:val="00FE081C"/>
    <w:rsid w:val="00FE0A91"/>
    <w:rsid w:val="00FE161B"/>
    <w:rsid w:val="00FE16CC"/>
    <w:rsid w:val="00FE1B61"/>
    <w:rsid w:val="00FE2401"/>
    <w:rsid w:val="00FE26E3"/>
    <w:rsid w:val="00FE3644"/>
    <w:rsid w:val="00FE3A87"/>
    <w:rsid w:val="00FE3DE1"/>
    <w:rsid w:val="00FE45CF"/>
    <w:rsid w:val="00FE5018"/>
    <w:rsid w:val="00FE58C7"/>
    <w:rsid w:val="00FE5AA9"/>
    <w:rsid w:val="00FE668A"/>
    <w:rsid w:val="00FE674F"/>
    <w:rsid w:val="00FE6D61"/>
    <w:rsid w:val="00FE7BCF"/>
    <w:rsid w:val="00FF08DB"/>
    <w:rsid w:val="00FF23BB"/>
    <w:rsid w:val="00FF2556"/>
    <w:rsid w:val="00FF2768"/>
    <w:rsid w:val="00FF355E"/>
    <w:rsid w:val="00FF3E89"/>
    <w:rsid w:val="00FF4139"/>
    <w:rsid w:val="00FF430F"/>
    <w:rsid w:val="00FF455E"/>
    <w:rsid w:val="00FF4808"/>
    <w:rsid w:val="00FF4B22"/>
    <w:rsid w:val="00FF4D5E"/>
    <w:rsid w:val="00FF6D96"/>
    <w:rsid w:val="00FF766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C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622DF6"/>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4442E"/>
    <w:rPr>
      <w:color w:val="605E5C"/>
      <w:shd w:val="clear" w:color="auto" w:fill="E1DFDD"/>
    </w:rPr>
  </w:style>
  <w:style w:type="character" w:styleId="UnresolvedMention">
    <w:name w:val="Unresolved Mention"/>
    <w:basedOn w:val="DefaultParagraphFont"/>
    <w:uiPriority w:val="99"/>
    <w:semiHidden/>
    <w:unhideWhenUsed/>
    <w:rsid w:val="008A1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docs.vmware.com/en/VMware-vSphere/6.7/vsan-671-administration-guide.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learn.microsoft.com/en-us/azure/virtual-machines/capacity-reservation-overview?tabs=cl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aka.ms/DSLARegionLin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8AC04708-839B-4A82-B357-5D05A46C9E34}">
  <ds:schemaRefs>
    <ds:schemaRef ds:uri="http://schemas.microsoft.com/sharepoint/v3/contenttype/forms"/>
  </ds:schemaRefs>
</ds:datastoreItem>
</file>

<file path=customXml/itemProps2.xml><?xml version="1.0" encoding="utf-8"?>
<ds:datastoreItem xmlns:ds="http://schemas.openxmlformats.org/officeDocument/2006/customXml" ds:itemID="{71A3B8A7-D0EA-45AC-A94E-9570DA14C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3773C6-3475-4871-80C9-30780B00BAA1}">
  <ds:schemaRefs>
    <ds:schemaRef ds:uri="http://schemas.openxmlformats.org/officeDocument/2006/bibliography"/>
  </ds:schemaRefs>
</ds:datastoreItem>
</file>

<file path=customXml/itemProps4.xml><?xml version="1.0" encoding="utf-8"?>
<ds:datastoreItem xmlns:ds="http://schemas.openxmlformats.org/officeDocument/2006/customXml" ds:itemID="{BA652935-FCBC-461B-8124-7A5E97D845D6}">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116</Pages>
  <Words>69530</Words>
  <Characters>382421</Characters>
  <Application>Microsoft Office Word</Application>
  <DocSecurity>8</DocSecurity>
  <Lines>6953</Lines>
  <Paragraphs>5869</Paragraphs>
  <ScaleCrop>false</ScaleCrop>
  <Company/>
  <LinksUpToDate>false</LinksUpToDate>
  <CharactersWithSpaces>446082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2024-01-09T00:05:00Z</dcterms:created>
  <dcterms:modified xsi:type="dcterms:W3CDTF">2025-11-19T22:32:00Z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2024-12-19T21:36:43Z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5430b130-207f-43f1-a3ad-bbd8bd14ac4b</vt:lpwstr>
  </property>
  <property fmtid="{D5CDD505-2E9C-101B-9397-08002B2CF9AE}" pid="10" name="MSIP_Label_4f1eb69c-1f4c-4df4-a01b-922f0787bf11_ContentBits">
    <vt:lpwstr>0</vt:lpwstr>
  </property>
</Properties>
</file>